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7E" w:rsidRPr="00B8520E" w:rsidRDefault="00C5607E" w:rsidP="00C560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B8520E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C5607E" w:rsidRPr="00B8520E" w:rsidRDefault="00C5607E" w:rsidP="00C560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B8520E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 xml:space="preserve"> </w:t>
      </w:r>
      <w:bookmarkStart w:id="0" w:name="n12"/>
      <w:bookmarkEnd w:id="0"/>
      <w:r w:rsidRPr="00B8520E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 xml:space="preserve">Державна реєстрація створення юридичної особи </w:t>
      </w:r>
      <w:bookmarkStart w:id="1" w:name="n13"/>
      <w:bookmarkEnd w:id="1"/>
    </w:p>
    <w:p w:rsidR="00C5607E" w:rsidRPr="00B8520E" w:rsidRDefault="00C5607E" w:rsidP="00C5607E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9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3076"/>
        <w:gridCol w:w="6502"/>
      </w:tblGrid>
      <w:tr w:rsidR="00C5607E" w:rsidRPr="00B8520E" w:rsidTr="004D7369">
        <w:trPr>
          <w:trHeight w:val="2428"/>
        </w:trPr>
        <w:tc>
          <w:tcPr>
            <w:tcW w:w="419" w:type="dxa"/>
            <w:tcBorders>
              <w:top w:val="double" w:sz="2" w:space="0" w:color="000001"/>
              <w:left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bookmarkStart w:id="2" w:name="n14"/>
            <w:bookmarkEnd w:id="2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1.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B8520E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C5607E" w:rsidRDefault="00C5607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C5607E" w:rsidRPr="005818E0" w:rsidRDefault="00C5607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C5607E" w:rsidRPr="005818E0" w:rsidRDefault="00C5607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C5607E" w:rsidRDefault="00C5607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C5607E" w:rsidRPr="00B8520E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2.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Перелі</w:t>
            </w:r>
            <w:proofErr w:type="gram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к</w:t>
            </w:r>
            <w:proofErr w:type="spellEnd"/>
            <w:proofErr w:type="gramEnd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 xml:space="preserve">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документів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 xml:space="preserve">,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необхідних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 xml:space="preserve"> для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надання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 xml:space="preserve">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послуги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 xml:space="preserve"> та </w:t>
            </w:r>
            <w:proofErr w:type="spellStart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вимоги</w:t>
            </w:r>
            <w:proofErr w:type="spellEnd"/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 xml:space="preserve"> до них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tabs>
                <w:tab w:val="left" w:pos="229"/>
              </w:tabs>
              <w:suppressAutoHyphens/>
              <w:autoSpaceDN w:val="0"/>
              <w:spacing w:after="0" w:line="240" w:lineRule="auto"/>
              <w:ind w:firstLine="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bookmarkStart w:id="3" w:name="n507"/>
            <w:bookmarkStart w:id="4" w:name="n506"/>
            <w:bookmarkEnd w:id="3"/>
            <w:bookmarkEnd w:id="4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Для державної реєстрації створення юридичної особи (у тому числі в результаті виділу, злиття, перетворення, поділу) подаються: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6"/>
              </w:numPr>
              <w:tabs>
                <w:tab w:val="left" w:pos="302"/>
              </w:tabs>
              <w:suppressAutoHyphens/>
              <w:autoSpaceDN w:val="0"/>
              <w:spacing w:after="0" w:line="240" w:lineRule="auto"/>
              <w:ind w:left="293" w:hanging="26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Заява про державну реєстрацію створення юридичної особи 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(затвердженої форми). У заяві про державну реєстрацію створення юридичної особи, утвореної в результаті поділу, додатково зазначаються відомості про відокремлені підрозділи в частині їх належності до юридичної особи – правонаступника;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uppressAutoHyphens/>
              <w:autoSpaceDN w:val="0"/>
              <w:spacing w:after="0" w:line="240" w:lineRule="auto"/>
              <w:ind w:left="293" w:hanging="26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5" w:name="n508"/>
            <w:bookmarkEnd w:id="5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Заява про обрання юридичною особою спрощеної системи оподаткування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– за бажанням заявника;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uppressAutoHyphens/>
              <w:autoSpaceDN w:val="0"/>
              <w:spacing w:after="0" w:line="240" w:lineRule="auto"/>
              <w:ind w:left="293" w:hanging="26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6" w:name="n511"/>
            <w:bookmarkStart w:id="7" w:name="n510"/>
            <w:bookmarkStart w:id="8" w:name="n509"/>
            <w:bookmarkEnd w:id="6"/>
            <w:bookmarkEnd w:id="7"/>
            <w:bookmarkEnd w:id="8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Примірник оригіналу (нотаріально засвідчену копію) рішення засновників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а у випадках, передбачених законом, - рішення відповідного державного органу, про створення юридичної особи;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uppressAutoHyphens/>
              <w:autoSpaceDN w:val="0"/>
              <w:spacing w:after="0" w:line="240" w:lineRule="auto"/>
              <w:ind w:left="293" w:hanging="26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Установчий документ юридичної особи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– у разі створення юридичної особи на підставі власного установчого документа.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1"/>
              </w:numPr>
              <w:tabs>
                <w:tab w:val="left" w:pos="250"/>
                <w:tab w:val="left" w:pos="302"/>
              </w:tabs>
              <w:suppressAutoHyphens/>
              <w:autoSpaceDN w:val="0"/>
              <w:spacing w:after="0" w:line="240" w:lineRule="auto"/>
              <w:ind w:left="293" w:hanging="26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uppressAutoHyphens/>
              <w:autoSpaceDN w:val="0"/>
              <w:spacing w:after="0" w:line="240" w:lineRule="auto"/>
              <w:ind w:left="293" w:hanging="26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представником,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C5607E" w:rsidRPr="00B8520E" w:rsidRDefault="00C5607E" w:rsidP="004D7369">
            <w:pPr>
              <w:tabs>
                <w:tab w:val="left" w:pos="458"/>
              </w:tabs>
              <w:suppressAutoHyphens/>
              <w:autoSpaceDN w:val="0"/>
              <w:spacing w:after="0" w:line="240" w:lineRule="auto"/>
              <w:ind w:left="229" w:hanging="2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</w:p>
          <w:p w:rsidR="00C5607E" w:rsidRPr="00B8520E" w:rsidRDefault="00C5607E" w:rsidP="004D7369">
            <w:pPr>
              <w:tabs>
                <w:tab w:val="left" w:pos="458"/>
              </w:tabs>
              <w:suppressAutoHyphens/>
              <w:autoSpaceDN w:val="0"/>
              <w:spacing w:after="0" w:line="240" w:lineRule="auto"/>
              <w:ind w:left="229" w:hanging="2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Додаткові документи у відповідних випадках: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7"/>
              </w:numPr>
              <w:tabs>
                <w:tab w:val="left" w:pos="334"/>
              </w:tabs>
              <w:suppressAutoHyphens/>
              <w:autoSpaceDN w:val="0"/>
              <w:spacing w:after="0" w:line="240" w:lineRule="auto"/>
              <w:ind w:left="293" w:hanging="25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9" w:name="n516"/>
            <w:bookmarkStart w:id="10" w:name="n515"/>
            <w:bookmarkStart w:id="11" w:name="n512"/>
            <w:bookmarkEnd w:id="9"/>
            <w:bookmarkEnd w:id="10"/>
            <w:bookmarkEnd w:id="11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Документ, що підтверджує реєстрацію іноземної особи у країні її місцезнаходження 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5"/>
              </w:numPr>
              <w:tabs>
                <w:tab w:val="left" w:pos="334"/>
              </w:tabs>
              <w:suppressAutoHyphens/>
              <w:autoSpaceDN w:val="0"/>
              <w:spacing w:after="0" w:line="240" w:lineRule="auto"/>
              <w:ind w:left="293" w:hanging="25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12" w:name="n517"/>
            <w:bookmarkEnd w:id="12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lastRenderedPageBreak/>
              <w:t>Примірник оригіналу (нотаріально засвідчена копія) передавального акта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– у разі створення юридичної особи в результаті перетворення, злиття;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5"/>
              </w:numPr>
              <w:tabs>
                <w:tab w:val="left" w:pos="334"/>
              </w:tabs>
              <w:suppressAutoHyphens/>
              <w:autoSpaceDN w:val="0"/>
              <w:spacing w:after="0" w:line="240" w:lineRule="auto"/>
              <w:ind w:left="293" w:hanging="25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13" w:name="n518"/>
            <w:bookmarkEnd w:id="13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Примірник оригіналу (нотаріально засвідчена копія) розподільчого балансу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– у разі створення юридичної особи в результаті поділу або виділу;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5"/>
              </w:numPr>
              <w:tabs>
                <w:tab w:val="left" w:pos="334"/>
              </w:tabs>
              <w:suppressAutoHyphens/>
              <w:autoSpaceDN w:val="0"/>
              <w:spacing w:after="0" w:line="240" w:lineRule="auto"/>
              <w:ind w:left="293" w:hanging="25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14" w:name="n519"/>
            <w:bookmarkEnd w:id="14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Документи для державної реєстрації змін про юридичну особу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що містяться в Єдиному державному реєстрі юридичних осіб, фізичних осіб – підприємців та громадських формувань (далі – ЄДР), визначені частиною четвертою цієї статті, – у разі створення юридичної особи в результаті виділу;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5"/>
              </w:numPr>
              <w:tabs>
                <w:tab w:val="left" w:pos="334"/>
              </w:tabs>
              <w:suppressAutoHyphens/>
              <w:autoSpaceDN w:val="0"/>
              <w:spacing w:after="0" w:line="240" w:lineRule="auto"/>
              <w:ind w:left="293" w:hanging="25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bookmarkStart w:id="15" w:name="n520"/>
            <w:bookmarkEnd w:id="15"/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Документи для державної реєстрації припинення юридичної особи в результаті злиття та поділу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– у разі створення юридичної особи в результаті злиття та поділу</w:t>
            </w:r>
            <w:bookmarkStart w:id="16" w:name="n521"/>
            <w:bookmarkEnd w:id="16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.</w:t>
            </w:r>
            <w:bookmarkStart w:id="17" w:name="n522"/>
            <w:bookmarkEnd w:id="17"/>
          </w:p>
        </w:tc>
      </w:tr>
      <w:tr w:rsidR="00C5607E" w:rsidRPr="00B8520E" w:rsidTr="004D7369">
        <w:trPr>
          <w:trHeight w:val="200"/>
        </w:trPr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lastRenderedPageBreak/>
              <w:t>3.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Безоплатно</w:t>
            </w:r>
          </w:p>
        </w:tc>
      </w:tr>
      <w:tr w:rsidR="00C5607E" w:rsidRPr="00B8520E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4.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  <w:p w:rsidR="00C5607E" w:rsidRPr="00B8520E" w:rsidRDefault="00C5607E" w:rsidP="004D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Виписка з ЄДР в електронній формі.</w:t>
            </w:r>
          </w:p>
        </w:tc>
      </w:tr>
      <w:tr w:rsidR="00C5607E" w:rsidRPr="00B8520E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5.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C5607E" w:rsidRPr="00B8520E" w:rsidRDefault="00C5607E" w:rsidP="004D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607E" w:rsidRPr="00B8520E" w:rsidRDefault="00C5607E" w:rsidP="004D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C5607E" w:rsidRPr="00B8520E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6.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Спосіб отримання відповіді (результату)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(у тому числі виписка з ЄДР та установчий документ юридичної особи) </w:t>
            </w: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оприлюднюються на порталі електронних сервісів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та доступні для їх пошуку за кодом доступу, за адресою: </w:t>
            </w:r>
            <w:hyperlink r:id="rId6" w:history="1">
              <w:r w:rsidRPr="00B8520E">
                <w:rPr>
                  <w:rFonts w:ascii="Times New Roman" w:eastAsia="Times New Roman" w:hAnsi="Times New Roman" w:cs="Times New Roman"/>
                  <w:color w:val="00000A"/>
                  <w:kern w:val="3"/>
                  <w:lang w:val="uk-UA" w:eastAsia="uk-UA"/>
                </w:rPr>
                <w:t>https://usr.minjust.gov.ua/ua/freesearch</w:t>
              </w:r>
            </w:hyperlink>
          </w:p>
          <w:p w:rsidR="00C5607E" w:rsidRPr="00B8520E" w:rsidRDefault="00C5607E" w:rsidP="004D7369">
            <w:pPr>
              <w:tabs>
                <w:tab w:val="left" w:pos="3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За бажанням заявника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 з ЄДР </w:t>
            </w: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 xml:space="preserve">надається виписка у паперовій формі 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/>
              </w:rPr>
              <w:t>з проставленням підпису та печатки державного реєстратора у разі подання заяви про державну реєстрацію у паперовій формі.</w:t>
            </w:r>
          </w:p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відмови у державній реєстрації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C5607E" w:rsidRPr="00B8520E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7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C5607E">
            <w:pPr>
              <w:widowControl w:val="0"/>
              <w:numPr>
                <w:ilvl w:val="0"/>
                <w:numId w:val="8"/>
              </w:numPr>
              <w:tabs>
                <w:tab w:val="left" w:pos="298"/>
                <w:tab w:val="left" w:pos="452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bookmarkStart w:id="18" w:name="o545"/>
            <w:bookmarkStart w:id="19" w:name="o625"/>
            <w:bookmarkStart w:id="20" w:name="o371"/>
            <w:bookmarkEnd w:id="18"/>
            <w:bookmarkEnd w:id="19"/>
            <w:bookmarkEnd w:id="20"/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 (далі – Закон), не в повному обсязі.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3"/>
              </w:numPr>
              <w:tabs>
                <w:tab w:val="left" w:pos="298"/>
                <w:tab w:val="left" w:pos="452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документів вимогам, установленим  статтею 15 Закону.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3"/>
              </w:numPr>
              <w:tabs>
                <w:tab w:val="left" w:pos="298"/>
                <w:tab w:val="left" w:pos="452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3"/>
              </w:numPr>
              <w:tabs>
                <w:tab w:val="left" w:pos="298"/>
                <w:tab w:val="left" w:pos="452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3"/>
              </w:numPr>
              <w:tabs>
                <w:tab w:val="left" w:pos="298"/>
                <w:tab w:val="left" w:pos="452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3"/>
              </w:numPr>
              <w:tabs>
                <w:tab w:val="left" w:pos="298"/>
                <w:tab w:val="left" w:pos="452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з порушенням встановленого законодавством строку для їх подання.</w:t>
            </w:r>
          </w:p>
        </w:tc>
      </w:tr>
      <w:tr w:rsidR="00C5607E" w:rsidRPr="00B8520E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8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eastAsia="uk-UA"/>
              </w:rPr>
              <w:t>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C5607E">
            <w:pPr>
              <w:widowControl w:val="0"/>
              <w:numPr>
                <w:ilvl w:val="0"/>
                <w:numId w:val="9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4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містяться відомості про судове рішення щодо заборони проведення реєстраційної дії.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4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4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суперечать вимогам Конституції та законів України.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4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Порушено встановлений законом порядок створення юридичної особи.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4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найменування юридичної особи вимогам закону.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4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ліквідації.</w:t>
            </w:r>
          </w:p>
        </w:tc>
      </w:tr>
      <w:tr w:rsidR="00C5607E" w:rsidRPr="00F22305" w:rsidTr="004D7369">
        <w:tc>
          <w:tcPr>
            <w:tcW w:w="4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</w:p>
        </w:tc>
        <w:tc>
          <w:tcPr>
            <w:tcW w:w="30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650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07E" w:rsidRPr="00B8520E" w:rsidRDefault="00C5607E" w:rsidP="00C5607E">
            <w:pPr>
              <w:widowControl w:val="0"/>
              <w:numPr>
                <w:ilvl w:val="0"/>
                <w:numId w:val="10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 (ст. 17, 26, 36);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2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Наказ Міністерства юстиції України від </w:t>
            </w:r>
            <w:r w:rsidRPr="00B8520E">
              <w:rPr>
                <w:rFonts w:ascii="Times New Roman" w:eastAsia="Times New Roman" w:hAnsi="Times New Roman" w:cs="Times New Roman"/>
                <w:bCs/>
                <w:kern w:val="3"/>
                <w:lang w:val="uk-UA" w:eastAsia="uk-UA"/>
              </w:rPr>
              <w:t>18.11.2016  № 3268/5</w:t>
            </w: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2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2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особи»;</w:t>
            </w:r>
          </w:p>
          <w:p w:rsidR="00C5607E" w:rsidRPr="00B8520E" w:rsidRDefault="00C5607E" w:rsidP="00C5607E">
            <w:pPr>
              <w:widowControl w:val="0"/>
              <w:numPr>
                <w:ilvl w:val="0"/>
                <w:numId w:val="2"/>
              </w:numPr>
              <w:tabs>
                <w:tab w:val="left" w:pos="1930"/>
              </w:tabs>
              <w:suppressAutoHyphens/>
              <w:autoSpaceDN w:val="0"/>
              <w:spacing w:after="0" w:line="240" w:lineRule="auto"/>
              <w:ind w:left="365" w:hanging="32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8520E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профспілки».</w:t>
            </w:r>
          </w:p>
        </w:tc>
      </w:tr>
    </w:tbl>
    <w:p w:rsidR="000B1098" w:rsidRPr="00C5607E" w:rsidRDefault="000B1098" w:rsidP="00C5607E">
      <w:pPr>
        <w:rPr>
          <w:lang w:val="uk-UA"/>
        </w:rPr>
      </w:pPr>
      <w:bookmarkStart w:id="21" w:name="_GoBack"/>
      <w:bookmarkEnd w:id="21"/>
    </w:p>
    <w:sectPr w:rsidR="000B1098" w:rsidRPr="00C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3D4690"/>
    <w:rsid w:val="005B48A4"/>
    <w:rsid w:val="00632F74"/>
    <w:rsid w:val="006678B8"/>
    <w:rsid w:val="009B246D"/>
    <w:rsid w:val="00A22848"/>
    <w:rsid w:val="00C42E0E"/>
    <w:rsid w:val="00C5607E"/>
    <w:rsid w:val="00C702FF"/>
    <w:rsid w:val="00C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2021-07-21T11:47:00Z</dcterms:created>
  <dcterms:modified xsi:type="dcterms:W3CDTF">2021-07-21T11:47:00Z</dcterms:modified>
</cp:coreProperties>
</file>