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8C" w:rsidRPr="00D73551" w:rsidRDefault="00D30D8C" w:rsidP="00D30D8C">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D73551">
        <w:rPr>
          <w:rFonts w:ascii="Times New Roman" w:eastAsia="Times New Roman" w:hAnsi="Times New Roman" w:cs="Times New Roman"/>
          <w:b/>
          <w:kern w:val="3"/>
          <w:sz w:val="28"/>
          <w:szCs w:val="28"/>
          <w:lang w:val="uk-UA" w:eastAsia="uk-UA"/>
        </w:rPr>
        <w:t>ІНФОРМАЦІЙНА КАРТКА</w:t>
      </w:r>
    </w:p>
    <w:p w:rsidR="00D30D8C" w:rsidRPr="00D73551" w:rsidRDefault="00D30D8C" w:rsidP="00D30D8C">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D73551">
        <w:rPr>
          <w:rFonts w:ascii="Times New Roman" w:eastAsia="Times New Roman" w:hAnsi="Times New Roman" w:cs="Times New Roman"/>
          <w:b/>
          <w:kern w:val="3"/>
          <w:sz w:val="28"/>
          <w:szCs w:val="28"/>
          <w:lang w:val="uk-UA"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D30D8C" w:rsidRPr="00D73551" w:rsidRDefault="00D30D8C" w:rsidP="00D30D8C">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478"/>
        <w:gridCol w:w="3210"/>
        <w:gridCol w:w="6677"/>
      </w:tblGrid>
      <w:tr w:rsidR="00D30D8C" w:rsidRPr="00D73551" w:rsidTr="004D736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1.</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D73551">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D30D8C" w:rsidRPr="00D73551" w:rsidRDefault="00D30D8C"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
                <w:kern w:val="3"/>
                <w:lang w:val="uk-UA" w:eastAsia="uk-UA"/>
              </w:rPr>
              <w:t>Адреса</w:t>
            </w:r>
            <w:r w:rsidRPr="00D73551">
              <w:rPr>
                <w:rFonts w:ascii="Times New Roman" w:eastAsia="Times New Roman" w:hAnsi="Times New Roman" w:cs="Times New Roman"/>
                <w:kern w:val="3"/>
                <w:lang w:val="uk-UA" w:eastAsia="uk-UA"/>
              </w:rPr>
              <w:t xml:space="preserve">: вул. Подільська буд.12, </w:t>
            </w:r>
            <w:proofErr w:type="spellStart"/>
            <w:r w:rsidRPr="00D73551">
              <w:rPr>
                <w:rFonts w:ascii="Times New Roman" w:eastAsia="Times New Roman" w:hAnsi="Times New Roman" w:cs="Times New Roman"/>
                <w:kern w:val="3"/>
                <w:lang w:val="uk-UA" w:eastAsia="uk-UA"/>
              </w:rPr>
              <w:t>смт</w:t>
            </w:r>
            <w:proofErr w:type="spellEnd"/>
            <w:r w:rsidRPr="00D73551">
              <w:rPr>
                <w:rFonts w:ascii="Times New Roman" w:eastAsia="Times New Roman" w:hAnsi="Times New Roman" w:cs="Times New Roman"/>
                <w:kern w:val="3"/>
                <w:lang w:val="uk-UA" w:eastAsia="uk-UA"/>
              </w:rPr>
              <w:t xml:space="preserve">. Нова </w:t>
            </w:r>
            <w:proofErr w:type="spellStart"/>
            <w:r w:rsidRPr="00D73551">
              <w:rPr>
                <w:rFonts w:ascii="Times New Roman" w:eastAsia="Times New Roman" w:hAnsi="Times New Roman" w:cs="Times New Roman"/>
                <w:kern w:val="3"/>
                <w:lang w:val="uk-UA" w:eastAsia="uk-UA"/>
              </w:rPr>
              <w:t>Ушиця</w:t>
            </w:r>
            <w:proofErr w:type="spellEnd"/>
            <w:r w:rsidRPr="00D73551">
              <w:rPr>
                <w:rFonts w:ascii="Times New Roman" w:eastAsia="Times New Roman" w:hAnsi="Times New Roman" w:cs="Times New Roman"/>
                <w:kern w:val="3"/>
                <w:lang w:val="uk-UA" w:eastAsia="uk-UA"/>
              </w:rPr>
              <w:t xml:space="preserve"> Новоушицького району Хмельницької області,  32600</w:t>
            </w:r>
          </w:p>
          <w:p w:rsidR="00D30D8C" w:rsidRPr="00D73551" w:rsidRDefault="00D30D8C"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proofErr w:type="spellStart"/>
            <w:r w:rsidRPr="00D73551">
              <w:rPr>
                <w:rFonts w:ascii="Times New Roman" w:eastAsia="Times New Roman" w:hAnsi="Times New Roman" w:cs="Times New Roman"/>
                <w:b/>
                <w:iCs/>
                <w:kern w:val="3"/>
                <w:lang w:val="uk-UA" w:eastAsia="uk-UA"/>
              </w:rPr>
              <w:t>Тел</w:t>
            </w:r>
            <w:proofErr w:type="spellEnd"/>
            <w:r w:rsidRPr="00D73551">
              <w:rPr>
                <w:rFonts w:ascii="Times New Roman" w:eastAsia="Times New Roman" w:hAnsi="Times New Roman" w:cs="Times New Roman"/>
                <w:b/>
                <w:iCs/>
                <w:kern w:val="3"/>
                <w:lang w:eastAsia="uk-UA"/>
              </w:rPr>
              <w:t>.</w:t>
            </w:r>
            <w:r w:rsidRPr="00D73551">
              <w:rPr>
                <w:rFonts w:ascii="Times New Roman" w:eastAsia="Times New Roman" w:hAnsi="Times New Roman" w:cs="Times New Roman"/>
                <w:b/>
                <w:iCs/>
                <w:kern w:val="3"/>
                <w:lang w:val="uk-UA" w:eastAsia="uk-UA"/>
              </w:rPr>
              <w:t>:</w:t>
            </w:r>
            <w:r w:rsidRPr="00D73551">
              <w:rPr>
                <w:rFonts w:ascii="Times New Roman" w:eastAsia="Times New Roman" w:hAnsi="Times New Roman" w:cs="Times New Roman"/>
                <w:iCs/>
                <w:kern w:val="3"/>
                <w:lang w:val="uk-UA" w:eastAsia="uk-UA"/>
              </w:rPr>
              <w:t xml:space="preserve"> </w:t>
            </w:r>
            <w:r w:rsidRPr="00D73551">
              <w:rPr>
                <w:rFonts w:ascii="Times New Roman" w:eastAsia="Times New Roman" w:hAnsi="Times New Roman" w:cs="Times New Roman"/>
                <w:kern w:val="3"/>
                <w:lang w:val="uk-UA"/>
              </w:rPr>
              <w:t>(03847) 3-00-55</w:t>
            </w:r>
          </w:p>
          <w:p w:rsidR="00D30D8C" w:rsidRPr="00D73551" w:rsidRDefault="00D30D8C"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
                <w:iCs/>
                <w:kern w:val="3"/>
                <w:lang w:eastAsia="uk-UA"/>
              </w:rPr>
              <w:t xml:space="preserve">Веб-сайт: </w:t>
            </w:r>
            <w:r w:rsidRPr="00D73551">
              <w:rPr>
                <w:rFonts w:ascii="Times New Roman" w:eastAsia="Times New Roman" w:hAnsi="Times New Roman" w:cs="Times New Roman"/>
                <w:b/>
                <w:iCs/>
                <w:kern w:val="3"/>
                <w:u w:val="single"/>
                <w:lang w:eastAsia="uk-UA"/>
              </w:rPr>
              <w:t>http://</w:t>
            </w:r>
            <w:r w:rsidRPr="00D73551">
              <w:rPr>
                <w:rFonts w:ascii="Times New Roman" w:eastAsia="Times New Roman" w:hAnsi="Times New Roman" w:cs="Times New Roman"/>
                <w:b/>
                <w:iCs/>
                <w:kern w:val="3"/>
                <w:u w:val="single"/>
                <w:lang w:val="en-US" w:eastAsia="uk-UA"/>
              </w:rPr>
              <w:t>www</w:t>
            </w:r>
            <w:r w:rsidRPr="00D73551">
              <w:rPr>
                <w:rFonts w:ascii="Times New Roman" w:eastAsia="Times New Roman" w:hAnsi="Times New Roman" w:cs="Times New Roman"/>
                <w:b/>
                <w:iCs/>
                <w:kern w:val="3"/>
                <w:u w:val="single"/>
                <w:lang w:eastAsia="uk-UA"/>
              </w:rPr>
              <w:t>.</w:t>
            </w:r>
            <w:r w:rsidRPr="00D73551">
              <w:rPr>
                <w:rFonts w:ascii="Times New Roman" w:eastAsia="Times New Roman" w:hAnsi="Times New Roman" w:cs="Times New Roman"/>
                <w:b/>
                <w:iCs/>
                <w:kern w:val="3"/>
                <w:lang w:eastAsia="uk-UA"/>
              </w:rPr>
              <w:t xml:space="preserve"> </w:t>
            </w:r>
            <w:r w:rsidRPr="00D73551">
              <w:rPr>
                <w:rFonts w:ascii="Times New Roman" w:eastAsia="Times New Roman" w:hAnsi="Times New Roman" w:cs="Times New Roman"/>
                <w:b/>
                <w:iCs/>
                <w:kern w:val="3"/>
                <w:u w:val="single"/>
                <w:lang w:eastAsia="uk-UA"/>
              </w:rPr>
              <w:t>http://novagromada.gov.ua/</w:t>
            </w:r>
          </w:p>
          <w:p w:rsidR="00D30D8C" w:rsidRPr="00D73551" w:rsidRDefault="00D30D8C"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proofErr w:type="spellStart"/>
            <w:r w:rsidRPr="00D73551">
              <w:rPr>
                <w:rFonts w:ascii="Times New Roman" w:eastAsia="Times New Roman" w:hAnsi="Times New Roman" w:cs="Times New Roman"/>
                <w:b/>
                <w:iCs/>
                <w:kern w:val="3"/>
                <w:lang w:val="en-US" w:eastAsia="uk-UA"/>
              </w:rPr>
              <w:t>cnap</w:t>
            </w:r>
            <w:proofErr w:type="spellEnd"/>
            <w:r w:rsidRPr="00D73551">
              <w:rPr>
                <w:rFonts w:ascii="Times New Roman" w:eastAsia="Times New Roman" w:hAnsi="Times New Roman" w:cs="Times New Roman"/>
                <w:b/>
                <w:iCs/>
                <w:kern w:val="3"/>
                <w:lang w:eastAsia="uk-UA"/>
              </w:rPr>
              <w:t>_</w:t>
            </w:r>
            <w:r w:rsidRPr="00D73551">
              <w:rPr>
                <w:rFonts w:ascii="Times New Roman" w:eastAsia="Times New Roman" w:hAnsi="Times New Roman" w:cs="Times New Roman"/>
                <w:b/>
                <w:iCs/>
                <w:kern w:val="3"/>
                <w:lang w:val="en-US" w:eastAsia="uk-UA"/>
              </w:rPr>
              <w:t>nu</w:t>
            </w:r>
            <w:r w:rsidRPr="00D73551">
              <w:rPr>
                <w:rFonts w:ascii="Times New Roman" w:eastAsia="Times New Roman" w:hAnsi="Times New Roman" w:cs="Times New Roman"/>
                <w:b/>
                <w:iCs/>
                <w:kern w:val="3"/>
                <w:lang w:eastAsia="uk-UA"/>
              </w:rPr>
              <w:t>_</w:t>
            </w:r>
            <w:proofErr w:type="spellStart"/>
            <w:r w:rsidRPr="00D73551">
              <w:rPr>
                <w:rFonts w:ascii="Times New Roman" w:eastAsia="Times New Roman" w:hAnsi="Times New Roman" w:cs="Times New Roman"/>
                <w:b/>
                <w:iCs/>
                <w:kern w:val="3"/>
                <w:lang w:val="en-US" w:eastAsia="uk-UA"/>
              </w:rPr>
              <w:t>otg</w:t>
            </w:r>
            <w:proofErr w:type="spellEnd"/>
            <w:r w:rsidRPr="00D73551">
              <w:rPr>
                <w:rFonts w:ascii="Times New Roman" w:eastAsia="Times New Roman" w:hAnsi="Times New Roman" w:cs="Times New Roman"/>
                <w:b/>
                <w:iCs/>
                <w:kern w:val="3"/>
                <w:lang w:val="uk-UA" w:eastAsia="uk-UA"/>
              </w:rPr>
              <w:t>@ukr.net</w:t>
            </w:r>
          </w:p>
          <w:p w:rsidR="00D30D8C" w:rsidRPr="00D73551" w:rsidRDefault="00D30D8C"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D73551">
              <w:rPr>
                <w:rFonts w:ascii="Times New Roman" w:eastAsia="Times New Roman" w:hAnsi="Times New Roman" w:cs="Times New Roman"/>
                <w:b/>
                <w:iCs/>
                <w:kern w:val="3"/>
                <w:lang w:val="uk-UA" w:eastAsia="uk-UA"/>
              </w:rPr>
              <w:t>Режим роботи ЦНАП:</w:t>
            </w:r>
          </w:p>
          <w:p w:rsidR="00D30D8C" w:rsidRDefault="00D30D8C"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Понеділок</w:t>
            </w:r>
            <w:proofErr w:type="spellEnd"/>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D30D8C" w:rsidRPr="005818E0" w:rsidRDefault="00D30D8C"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вівторок</w:t>
            </w:r>
            <w:proofErr w:type="spellEnd"/>
            <w:r w:rsidRPr="005818E0">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proofErr w:type="spellEnd"/>
            <w:r w:rsidRPr="005818E0">
              <w:rPr>
                <w:rFonts w:ascii="Times New Roman" w:eastAsia="Times New Roman" w:hAnsi="Times New Roman" w:cs="Times New Roman"/>
                <w:b/>
                <w:iCs/>
                <w:lang w:eastAsia="uk-UA"/>
              </w:rPr>
              <w:t xml:space="preserve">  з 8.00 до 16.00,  </w:t>
            </w:r>
          </w:p>
          <w:p w:rsidR="00D30D8C" w:rsidRPr="005818E0" w:rsidRDefault="00D30D8C"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четвер</w:t>
            </w:r>
            <w:proofErr w:type="spellEnd"/>
            <w:r w:rsidRPr="005818E0">
              <w:rPr>
                <w:rFonts w:ascii="Times New Roman" w:eastAsia="Times New Roman" w:hAnsi="Times New Roman" w:cs="Times New Roman"/>
                <w:b/>
                <w:iCs/>
                <w:lang w:eastAsia="uk-UA"/>
              </w:rPr>
              <w:t xml:space="preserve"> з 8.00 до 20.00,     </w:t>
            </w:r>
          </w:p>
          <w:p w:rsidR="00D30D8C" w:rsidRDefault="00D30D8C" w:rsidP="004D7369">
            <w:pPr>
              <w:spacing w:after="0" w:line="240" w:lineRule="auto"/>
              <w:ind w:left="57" w:hanging="57"/>
              <w:jc w:val="both"/>
              <w:rPr>
                <w:rFonts w:ascii="Times New Roman" w:eastAsia="Times New Roman" w:hAnsi="Times New Roman" w:cs="Times New Roman"/>
                <w:b/>
                <w:iCs/>
                <w:lang w:eastAsia="uk-UA"/>
              </w:rPr>
            </w:pPr>
            <w:proofErr w:type="gramStart"/>
            <w:r w:rsidRPr="005818E0">
              <w:rPr>
                <w:rFonts w:ascii="Times New Roman" w:eastAsia="Times New Roman" w:hAnsi="Times New Roman" w:cs="Times New Roman"/>
                <w:b/>
                <w:iCs/>
                <w:lang w:eastAsia="uk-UA"/>
              </w:rPr>
              <w:t>без перерви</w:t>
            </w:r>
            <w:proofErr w:type="gramEnd"/>
            <w:r w:rsidRPr="005818E0">
              <w:rPr>
                <w:rFonts w:ascii="Times New Roman" w:eastAsia="Times New Roman" w:hAnsi="Times New Roman" w:cs="Times New Roman"/>
                <w:b/>
                <w:iCs/>
                <w:lang w:eastAsia="uk-UA"/>
              </w:rPr>
              <w:t xml:space="preserve"> на </w:t>
            </w:r>
            <w:proofErr w:type="spellStart"/>
            <w:r w:rsidRPr="005818E0">
              <w:rPr>
                <w:rFonts w:ascii="Times New Roman" w:eastAsia="Times New Roman" w:hAnsi="Times New Roman" w:cs="Times New Roman"/>
                <w:b/>
                <w:iCs/>
                <w:lang w:eastAsia="uk-UA"/>
              </w:rPr>
              <w:t>обід</w:t>
            </w:r>
            <w:proofErr w:type="spellEnd"/>
            <w:r w:rsidRPr="005818E0">
              <w:rPr>
                <w:rFonts w:ascii="Times New Roman" w:eastAsia="Times New Roman" w:hAnsi="Times New Roman" w:cs="Times New Roman"/>
                <w:b/>
                <w:iCs/>
                <w:lang w:eastAsia="uk-UA"/>
              </w:rPr>
              <w:t xml:space="preserve"> </w:t>
            </w:r>
          </w:p>
          <w:p w:rsidR="00D30D8C" w:rsidRPr="00D73551" w:rsidRDefault="00D30D8C" w:rsidP="004D7369">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proofErr w:type="spellStart"/>
            <w:r w:rsidRPr="005818E0">
              <w:rPr>
                <w:rFonts w:ascii="Times New Roman" w:eastAsia="Times New Roman" w:hAnsi="Times New Roman" w:cs="Times New Roman"/>
                <w:b/>
                <w:iCs/>
                <w:lang w:eastAsia="uk-UA"/>
              </w:rPr>
              <w:t>вихідний</w:t>
            </w:r>
            <w:proofErr w:type="spellEnd"/>
            <w:r w:rsidRPr="005818E0">
              <w:rPr>
                <w:rFonts w:ascii="Times New Roman" w:eastAsia="Times New Roman" w:hAnsi="Times New Roman" w:cs="Times New Roman"/>
                <w:b/>
                <w:iCs/>
                <w:lang w:eastAsia="uk-UA"/>
              </w:rPr>
              <w:t xml:space="preserve"> </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субота</w:t>
            </w:r>
            <w:proofErr w:type="spellEnd"/>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 xml:space="preserve"> </w:t>
            </w:r>
            <w:proofErr w:type="spellStart"/>
            <w:r w:rsidRPr="005818E0">
              <w:rPr>
                <w:rFonts w:ascii="Times New Roman" w:eastAsia="Times New Roman" w:hAnsi="Times New Roman" w:cs="Times New Roman"/>
                <w:b/>
                <w:iCs/>
                <w:lang w:eastAsia="uk-UA"/>
              </w:rPr>
              <w:t>неділя</w:t>
            </w:r>
            <w:proofErr w:type="spellEnd"/>
          </w:p>
        </w:tc>
      </w:tr>
      <w:tr w:rsidR="00D30D8C" w:rsidRPr="00D73551" w:rsidTr="004D736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2.</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54516A" w:rsidRDefault="00D30D8C" w:rsidP="00D30D8C">
            <w:pPr>
              <w:widowControl w:val="0"/>
              <w:numPr>
                <w:ilvl w:val="0"/>
                <w:numId w:val="4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 про державну реєстрацію змін до відомостей</w:t>
            </w:r>
            <w:r w:rsidRPr="0054516A">
              <w:rPr>
                <w:rFonts w:ascii="Times New Roman" w:eastAsia="Times New Roman" w:hAnsi="Times New Roman" w:cs="Times New Roman"/>
                <w:kern w:val="3"/>
                <w:lang w:val="uk-UA" w:eastAsia="uk-UA"/>
              </w:rPr>
              <w:t xml:space="preserve"> про фізичну особу – підприємця, що містяться в Єдиному державному реєстрі юридичних осіб, фізичних осіб – підприємців та громадських формувань (далі – ЄДР).</w:t>
            </w:r>
          </w:p>
          <w:p w:rsidR="00D30D8C" w:rsidRPr="0054516A" w:rsidRDefault="00D30D8C" w:rsidP="00D30D8C">
            <w:pPr>
              <w:widowControl w:val="0"/>
              <w:numPr>
                <w:ilvl w:val="0"/>
                <w:numId w:val="4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 про сплату адміністративного</w:t>
            </w:r>
            <w:r w:rsidRPr="0054516A">
              <w:rPr>
                <w:rFonts w:ascii="Times New Roman" w:eastAsia="Times New Roman" w:hAnsi="Times New Roman" w:cs="Times New Roman"/>
                <w:kern w:val="3"/>
                <w:lang w:val="uk-UA" w:eastAsia="uk-UA"/>
              </w:rPr>
              <w:t xml:space="preserve"> </w:t>
            </w:r>
            <w:r w:rsidRPr="0054516A">
              <w:rPr>
                <w:rFonts w:ascii="Times New Roman" w:eastAsia="Times New Roman" w:hAnsi="Times New Roman" w:cs="Times New Roman"/>
                <w:b/>
                <w:kern w:val="3"/>
                <w:lang w:val="uk-UA" w:eastAsia="uk-UA"/>
              </w:rPr>
              <w:t>збору</w:t>
            </w:r>
            <w:r w:rsidRPr="0054516A">
              <w:rPr>
                <w:rFonts w:ascii="Times New Roman" w:eastAsia="Times New Roman" w:hAnsi="Times New Roman" w:cs="Times New Roman"/>
                <w:kern w:val="3"/>
                <w:lang w:val="uk-UA" w:eastAsia="uk-UA"/>
              </w:rPr>
              <w:t xml:space="preserve"> – у випадку державної реєстрації змін відомостей про прізвище, ім’я, по батькові або місцезнаходження фізичної особи – підприємця.</w:t>
            </w:r>
          </w:p>
          <w:p w:rsidR="00D30D8C" w:rsidRPr="0054516A" w:rsidRDefault="00D30D8C" w:rsidP="00D30D8C">
            <w:pPr>
              <w:widowControl w:val="0"/>
              <w:numPr>
                <w:ilvl w:val="0"/>
                <w:numId w:val="4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Копія довідки про зміну реєстраційного номера облікової картки</w:t>
            </w:r>
            <w:r w:rsidRPr="0054516A">
              <w:rPr>
                <w:rFonts w:ascii="Times New Roman" w:eastAsia="Times New Roman" w:hAnsi="Times New Roman" w:cs="Times New Roman"/>
                <w:kern w:val="3"/>
                <w:lang w:val="uk-UA" w:eastAsia="uk-UA"/>
              </w:rPr>
              <w:t xml:space="preserve"> – у разі внесення змін, пов'язаних із зміною реєстраційного номера облікової картки платника податків.</w:t>
            </w:r>
          </w:p>
          <w:p w:rsidR="00D30D8C" w:rsidRPr="0054516A" w:rsidRDefault="00D30D8C" w:rsidP="00D30D8C">
            <w:pPr>
              <w:widowControl w:val="0"/>
              <w:numPr>
                <w:ilvl w:val="0"/>
                <w:numId w:val="4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Копія першої сторінки паспорта</w:t>
            </w:r>
            <w:r w:rsidRPr="0054516A">
              <w:rPr>
                <w:rFonts w:ascii="Times New Roman" w:eastAsia="Times New Roman" w:hAnsi="Times New Roman" w:cs="Times New Roman"/>
                <w:kern w:val="3"/>
                <w:lang w:val="uk-UA" w:eastAsia="uk-UA"/>
              </w:rPr>
              <w:t xml:space="preserve">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D30D8C" w:rsidRPr="0054516A" w:rsidRDefault="00D30D8C" w:rsidP="00D30D8C">
            <w:pPr>
              <w:widowControl w:val="0"/>
              <w:numPr>
                <w:ilvl w:val="0"/>
                <w:numId w:val="4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D30D8C" w:rsidRPr="0054516A" w:rsidRDefault="00D30D8C" w:rsidP="00D30D8C">
            <w:pPr>
              <w:widowControl w:val="0"/>
              <w:numPr>
                <w:ilvl w:val="0"/>
                <w:numId w:val="4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D30D8C" w:rsidRPr="006C5093" w:rsidTr="004D736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3.</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Оплата</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kern w:val="3"/>
                <w:lang w:val="uk-UA" w:eastAsia="uk-UA"/>
              </w:rPr>
              <w:t xml:space="preserve">За проведення державної реєстрації змін до відомостей про прізвище, ім'я, по батькові або місцезнаходження фізичної особи – підприємця </w:t>
            </w:r>
            <w:r w:rsidRPr="00D73551">
              <w:rPr>
                <w:rFonts w:ascii="Times New Roman" w:eastAsia="Times New Roman" w:hAnsi="Times New Roman" w:cs="Times New Roman"/>
                <w:kern w:val="3"/>
                <w:lang w:val="uk-UA"/>
              </w:rPr>
              <w:t>сплачується адміністративний збір у розмірі 0,1 прожиткового мінімуму для працездатних осіб</w:t>
            </w:r>
            <w:r>
              <w:rPr>
                <w:rFonts w:ascii="Times New Roman" w:eastAsia="Times New Roman" w:hAnsi="Times New Roman" w:cs="Times New Roman"/>
                <w:kern w:val="3"/>
                <w:lang w:val="uk-UA"/>
              </w:rPr>
              <w:t xml:space="preserve"> </w:t>
            </w:r>
            <w:r w:rsidRPr="00714E0D">
              <w:rPr>
                <w:rFonts w:ascii="Times New Roman" w:eastAsia="Times New Roman" w:hAnsi="Times New Roman" w:cs="Times New Roman"/>
                <w:b/>
                <w:kern w:val="3"/>
                <w:lang w:val="uk-UA"/>
              </w:rPr>
              <w:t>(230 грн.)</w:t>
            </w:r>
          </w:p>
          <w:p w:rsidR="00D30D8C" w:rsidRPr="006C5093" w:rsidRDefault="00D30D8C" w:rsidP="004D7369">
            <w:pPr>
              <w:spacing w:after="0" w:line="240" w:lineRule="auto"/>
              <w:rPr>
                <w:rFonts w:ascii="Times New Roman" w:hAnsi="Times New Roman" w:cs="Times New Roman"/>
                <w:b/>
                <w:lang w:val="uk-UA"/>
              </w:rPr>
            </w:pPr>
            <w:r w:rsidRPr="006C5093">
              <w:rPr>
                <w:rFonts w:ascii="Times New Roman" w:hAnsi="Times New Roman" w:cs="Times New Roman"/>
                <w:lang w:val="uk-UA"/>
              </w:rPr>
              <w:t>Отримувач</w:t>
            </w:r>
            <w:r w:rsidRPr="006C5093">
              <w:rPr>
                <w:rFonts w:ascii="Times New Roman" w:hAnsi="Times New Roman" w:cs="Times New Roman"/>
                <w:b/>
                <w:lang w:val="uk-UA"/>
              </w:rPr>
              <w:t xml:space="preserve"> </w:t>
            </w:r>
            <w:proofErr w:type="spellStart"/>
            <w:r w:rsidRPr="006C5093">
              <w:rPr>
                <w:rFonts w:ascii="Times New Roman" w:hAnsi="Times New Roman" w:cs="Times New Roman"/>
                <w:b/>
                <w:lang w:val="uk-UA"/>
              </w:rPr>
              <w:t>Новоушицька</w:t>
            </w:r>
            <w:proofErr w:type="spellEnd"/>
            <w:r w:rsidRPr="006C5093">
              <w:rPr>
                <w:rFonts w:ascii="Times New Roman" w:hAnsi="Times New Roman" w:cs="Times New Roman"/>
                <w:b/>
                <w:lang w:val="uk-UA"/>
              </w:rPr>
              <w:t xml:space="preserve"> селищна </w:t>
            </w:r>
            <w:proofErr w:type="spellStart"/>
            <w:r w:rsidRPr="006C5093">
              <w:rPr>
                <w:rFonts w:ascii="Times New Roman" w:hAnsi="Times New Roman" w:cs="Times New Roman"/>
                <w:b/>
                <w:lang w:val="uk-UA"/>
              </w:rPr>
              <w:t>тг</w:t>
            </w:r>
            <w:proofErr w:type="spellEnd"/>
            <w:r w:rsidRPr="006C5093">
              <w:rPr>
                <w:rFonts w:ascii="Times New Roman" w:hAnsi="Times New Roman" w:cs="Times New Roman"/>
                <w:b/>
                <w:lang w:val="uk-UA"/>
              </w:rPr>
              <w:t xml:space="preserve"> </w:t>
            </w:r>
          </w:p>
          <w:p w:rsidR="00D30D8C" w:rsidRPr="006C5093" w:rsidRDefault="00D30D8C" w:rsidP="004D7369">
            <w:pPr>
              <w:spacing w:after="0" w:line="240" w:lineRule="auto"/>
              <w:rPr>
                <w:rFonts w:ascii="Times New Roman" w:hAnsi="Times New Roman" w:cs="Times New Roman"/>
                <w:lang w:val="uk-UA"/>
              </w:rPr>
            </w:pPr>
            <w:r w:rsidRPr="006C5093">
              <w:rPr>
                <w:rFonts w:ascii="Times New Roman" w:hAnsi="Times New Roman" w:cs="Times New Roman"/>
                <w:b/>
                <w:lang w:val="uk-UA"/>
              </w:rPr>
              <w:t xml:space="preserve">ГУК у </w:t>
            </w:r>
            <w:proofErr w:type="spellStart"/>
            <w:r w:rsidRPr="006C5093">
              <w:rPr>
                <w:rFonts w:ascii="Times New Roman" w:hAnsi="Times New Roman" w:cs="Times New Roman"/>
                <w:b/>
                <w:lang w:val="uk-UA"/>
              </w:rPr>
              <w:t>Хмел.обл</w:t>
            </w:r>
            <w:proofErr w:type="spellEnd"/>
            <w:r w:rsidRPr="006C5093">
              <w:rPr>
                <w:rFonts w:ascii="Times New Roman" w:hAnsi="Times New Roman" w:cs="Times New Roman"/>
                <w:b/>
                <w:lang w:val="uk-UA"/>
              </w:rPr>
              <w:t>/</w:t>
            </w:r>
            <w:proofErr w:type="spellStart"/>
            <w:r w:rsidRPr="006C5093">
              <w:rPr>
                <w:rFonts w:ascii="Times New Roman" w:hAnsi="Times New Roman" w:cs="Times New Roman"/>
                <w:b/>
                <w:lang w:val="uk-UA"/>
              </w:rPr>
              <w:t>Новоушицьк.стг</w:t>
            </w:r>
            <w:proofErr w:type="spellEnd"/>
            <w:r w:rsidRPr="006C5093">
              <w:rPr>
                <w:rFonts w:ascii="Times New Roman" w:hAnsi="Times New Roman" w:cs="Times New Roman"/>
                <w:b/>
                <w:lang w:val="uk-UA"/>
              </w:rPr>
              <w:t>/2201</w:t>
            </w:r>
            <w:r>
              <w:rPr>
                <w:rFonts w:ascii="Times New Roman" w:hAnsi="Times New Roman" w:cs="Times New Roman"/>
                <w:b/>
                <w:lang w:val="uk-UA"/>
              </w:rPr>
              <w:t>0300</w:t>
            </w:r>
            <w:r w:rsidRPr="006C5093">
              <w:rPr>
                <w:rFonts w:ascii="Times New Roman" w:hAnsi="Times New Roman" w:cs="Times New Roman"/>
                <w:lang w:val="uk-UA"/>
              </w:rPr>
              <w:t xml:space="preserve"> </w:t>
            </w:r>
          </w:p>
          <w:p w:rsidR="00D30D8C" w:rsidRPr="006C5093" w:rsidRDefault="00D30D8C" w:rsidP="004D7369">
            <w:pPr>
              <w:spacing w:after="0" w:line="240" w:lineRule="auto"/>
              <w:rPr>
                <w:rFonts w:ascii="Times New Roman" w:hAnsi="Times New Roman" w:cs="Times New Roman"/>
                <w:lang w:val="uk-UA"/>
              </w:rPr>
            </w:pPr>
            <w:r w:rsidRPr="006C5093">
              <w:rPr>
                <w:rFonts w:ascii="Times New Roman" w:hAnsi="Times New Roman" w:cs="Times New Roman"/>
                <w:lang w:val="uk-UA"/>
              </w:rPr>
              <w:t xml:space="preserve">Код отримувача </w:t>
            </w:r>
            <w:r w:rsidRPr="006C5093">
              <w:rPr>
                <w:rFonts w:ascii="Times New Roman" w:hAnsi="Times New Roman" w:cs="Times New Roman"/>
                <w:b/>
                <w:lang w:val="uk-UA"/>
              </w:rPr>
              <w:t>37971775</w:t>
            </w:r>
          </w:p>
          <w:p w:rsidR="00D30D8C" w:rsidRPr="006C5093" w:rsidRDefault="00D30D8C" w:rsidP="004D7369">
            <w:pPr>
              <w:spacing w:after="0" w:line="240" w:lineRule="auto"/>
              <w:rPr>
                <w:rFonts w:ascii="Times New Roman" w:hAnsi="Times New Roman" w:cs="Times New Roman"/>
                <w:b/>
                <w:lang w:val="uk-UA"/>
              </w:rPr>
            </w:pPr>
            <w:r w:rsidRPr="006C5093">
              <w:rPr>
                <w:rFonts w:ascii="Times New Roman" w:hAnsi="Times New Roman" w:cs="Times New Roman"/>
                <w:lang w:val="uk-UA"/>
              </w:rPr>
              <w:t xml:space="preserve">Банк отримувача </w:t>
            </w:r>
            <w:r w:rsidRPr="006C5093">
              <w:rPr>
                <w:rFonts w:ascii="Times New Roman" w:hAnsi="Times New Roman" w:cs="Times New Roman"/>
                <w:b/>
                <w:lang w:val="uk-UA"/>
              </w:rPr>
              <w:t>Казначейство України</w:t>
            </w:r>
          </w:p>
          <w:p w:rsidR="00D30D8C" w:rsidRPr="006C5093" w:rsidRDefault="00D30D8C" w:rsidP="004D7369">
            <w:pPr>
              <w:spacing w:after="0" w:line="240" w:lineRule="auto"/>
              <w:rPr>
                <w:rFonts w:ascii="Times New Roman" w:hAnsi="Times New Roman" w:cs="Times New Roman"/>
                <w:b/>
                <w:lang w:val="uk-UA"/>
              </w:rPr>
            </w:pPr>
            <w:r w:rsidRPr="006C5093">
              <w:rPr>
                <w:rFonts w:ascii="Times New Roman" w:hAnsi="Times New Roman" w:cs="Times New Roman"/>
                <w:b/>
                <w:lang w:val="uk-UA"/>
              </w:rPr>
              <w:t>(</w:t>
            </w:r>
            <w:proofErr w:type="spellStart"/>
            <w:r w:rsidRPr="006C5093">
              <w:rPr>
                <w:rFonts w:ascii="Times New Roman" w:hAnsi="Times New Roman" w:cs="Times New Roman"/>
                <w:b/>
                <w:lang w:val="uk-UA"/>
              </w:rPr>
              <w:t>ел</w:t>
            </w:r>
            <w:proofErr w:type="spellEnd"/>
            <w:r w:rsidRPr="006C5093">
              <w:rPr>
                <w:rFonts w:ascii="Times New Roman" w:hAnsi="Times New Roman" w:cs="Times New Roman"/>
                <w:b/>
                <w:lang w:val="uk-UA"/>
              </w:rPr>
              <w:t xml:space="preserve">. адм. </w:t>
            </w:r>
            <w:proofErr w:type="spellStart"/>
            <w:r w:rsidRPr="006C5093">
              <w:rPr>
                <w:rFonts w:ascii="Times New Roman" w:hAnsi="Times New Roman" w:cs="Times New Roman"/>
                <w:b/>
                <w:lang w:val="uk-UA"/>
              </w:rPr>
              <w:t>подат</w:t>
            </w:r>
            <w:proofErr w:type="spellEnd"/>
            <w:r w:rsidRPr="006C5093">
              <w:rPr>
                <w:rFonts w:ascii="Times New Roman" w:hAnsi="Times New Roman" w:cs="Times New Roman"/>
                <w:b/>
                <w:lang w:val="uk-UA"/>
              </w:rPr>
              <w:t>.)</w:t>
            </w:r>
          </w:p>
          <w:p w:rsidR="00D30D8C" w:rsidRPr="006C5093" w:rsidRDefault="00D30D8C" w:rsidP="004D7369">
            <w:pPr>
              <w:spacing w:after="0" w:line="240" w:lineRule="auto"/>
              <w:rPr>
                <w:rFonts w:ascii="Times New Roman" w:hAnsi="Times New Roman" w:cs="Times New Roman"/>
                <w:b/>
                <w:lang w:val="uk-UA"/>
              </w:rPr>
            </w:pPr>
            <w:r w:rsidRPr="006C5093">
              <w:rPr>
                <w:rFonts w:ascii="Times New Roman" w:hAnsi="Times New Roman" w:cs="Times New Roman"/>
                <w:lang w:val="uk-UA"/>
              </w:rPr>
              <w:lastRenderedPageBreak/>
              <w:t xml:space="preserve">Рахунок отримувача </w:t>
            </w:r>
            <w:r w:rsidRPr="006C5093">
              <w:rPr>
                <w:rFonts w:ascii="Times New Roman" w:hAnsi="Times New Roman" w:cs="Times New Roman"/>
                <w:b/>
                <w:lang w:val="uk-UA"/>
              </w:rPr>
              <w:t>UA</w:t>
            </w:r>
            <w:r>
              <w:rPr>
                <w:rFonts w:ascii="Times New Roman" w:hAnsi="Times New Roman" w:cs="Times New Roman"/>
                <w:b/>
                <w:lang w:val="uk-UA"/>
              </w:rPr>
              <w:t>858999980314010501000022669</w:t>
            </w:r>
          </w:p>
          <w:p w:rsidR="00D30D8C" w:rsidRPr="003F61B2" w:rsidRDefault="00D30D8C" w:rsidP="004D7369">
            <w:pPr>
              <w:suppressAutoHyphens/>
              <w:autoSpaceDN w:val="0"/>
              <w:spacing w:after="0" w:line="240" w:lineRule="auto"/>
              <w:ind w:firstLine="223"/>
              <w:jc w:val="both"/>
              <w:textAlignment w:val="baseline"/>
              <w:rPr>
                <w:rFonts w:ascii="Times New Roman" w:eastAsia="Times New Roman" w:hAnsi="Times New Roman" w:cs="Times New Roman"/>
                <w:kern w:val="3"/>
                <w:lang w:val="uk-UA" w:eastAsia="uk-UA"/>
              </w:rPr>
            </w:pPr>
            <w:r w:rsidRPr="006C5093">
              <w:rPr>
                <w:rFonts w:ascii="Times New Roman" w:hAnsi="Times New Roman" w:cs="Times New Roman"/>
                <w:lang w:val="uk-UA"/>
              </w:rPr>
              <w:t xml:space="preserve">Код КД </w:t>
            </w:r>
            <w:r w:rsidRPr="006C5093">
              <w:rPr>
                <w:rFonts w:ascii="Times New Roman" w:hAnsi="Times New Roman" w:cs="Times New Roman"/>
                <w:b/>
                <w:lang w:val="uk-UA"/>
              </w:rPr>
              <w:t>2201</w:t>
            </w:r>
            <w:r>
              <w:rPr>
                <w:rFonts w:ascii="Times New Roman" w:hAnsi="Times New Roman" w:cs="Times New Roman"/>
                <w:b/>
                <w:lang w:val="uk-UA"/>
              </w:rPr>
              <w:t>0300</w:t>
            </w:r>
          </w:p>
          <w:p w:rsidR="00D30D8C" w:rsidRPr="00D73551" w:rsidRDefault="00D30D8C"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p>
        </w:tc>
      </w:tr>
      <w:tr w:rsidR="00D30D8C" w:rsidRPr="00D73551" w:rsidTr="004D736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lastRenderedPageBreak/>
              <w:t>4.</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Результат надання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D73551">
              <w:rPr>
                <w:rFonts w:ascii="Times New Roman" w:eastAsia="Times New Roman" w:hAnsi="Times New Roman" w:cs="Times New Roman"/>
                <w:kern w:val="3"/>
                <w:lang w:val="uk-UA"/>
              </w:rPr>
              <w:t>Внесення відповідного запису до ЄДР.</w:t>
            </w:r>
          </w:p>
          <w:p w:rsidR="00D30D8C" w:rsidRPr="00D73551" w:rsidRDefault="00D30D8C" w:rsidP="004D736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D73551">
              <w:rPr>
                <w:rFonts w:ascii="Times New Roman" w:eastAsia="Times New Roman" w:hAnsi="Times New Roman" w:cs="Times New Roman"/>
                <w:kern w:val="3"/>
                <w:lang w:val="uk-UA"/>
              </w:rPr>
              <w:t>Виписка з ЄДР в електронній формі – у разі внесення змін до відомостей, що відображаються у виписці.</w:t>
            </w:r>
          </w:p>
        </w:tc>
      </w:tr>
      <w:tr w:rsidR="00D30D8C" w:rsidRPr="00D73551" w:rsidTr="004D736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5.</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Строк надання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D73551">
              <w:rPr>
                <w:rFonts w:ascii="Times New Roman" w:eastAsia="Times New Roman" w:hAnsi="Times New Roman" w:cs="Times New Roman"/>
                <w:b/>
                <w:kern w:val="3"/>
                <w:lang w:val="uk-UA" w:eastAsia="uk-UA"/>
              </w:rPr>
              <w:t>протягом 24 годин</w:t>
            </w:r>
            <w:r w:rsidRPr="00D73551">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D30D8C" w:rsidRPr="00D73551" w:rsidRDefault="00D30D8C"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D30D8C" w:rsidRPr="00D73551" w:rsidRDefault="00D30D8C"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D30D8C" w:rsidRPr="00D73551" w:rsidTr="004D736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6.</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proofErr w:type="spellStart"/>
            <w:r w:rsidRPr="00D73551">
              <w:rPr>
                <w:rFonts w:ascii="Times New Roman" w:eastAsia="Times New Roman" w:hAnsi="Times New Roman" w:cs="Times New Roman"/>
                <w:kern w:val="3"/>
                <w:lang w:val="uk-UA" w:eastAsia="uk-UA"/>
              </w:rPr>
              <w:t>Спосоіб</w:t>
            </w:r>
            <w:proofErr w:type="spellEnd"/>
            <w:r w:rsidRPr="00D73551">
              <w:rPr>
                <w:rFonts w:ascii="Times New Roman" w:eastAsia="Times New Roman" w:hAnsi="Times New Roman" w:cs="Times New Roman"/>
                <w:kern w:val="3"/>
                <w:lang w:val="uk-UA" w:eastAsia="uk-UA"/>
              </w:rPr>
              <w:t xml:space="preserve"> отримання відповіді (результату)</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
                <w:kern w:val="3"/>
                <w:lang w:val="uk-UA" w:eastAsia="uk-UA"/>
              </w:rPr>
              <w:t>Результати надання адміністративної послуги</w:t>
            </w:r>
            <w:r w:rsidRPr="00D73551">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D73551">
              <w:rPr>
                <w:rFonts w:ascii="Times New Roman" w:eastAsia="Times New Roman" w:hAnsi="Times New Roman" w:cs="Times New Roman"/>
                <w:b/>
                <w:kern w:val="3"/>
                <w:lang w:val="uk-UA" w:eastAsia="uk-UA"/>
              </w:rPr>
              <w:t>оприлюднюються на порталі електронних сервісів</w:t>
            </w:r>
            <w:r w:rsidRPr="00D73551">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D30D8C" w:rsidRPr="00D73551" w:rsidRDefault="00D30D8C"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30D8C" w:rsidRPr="00D73551" w:rsidRDefault="00D30D8C"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D30D8C" w:rsidRPr="00D73551" w:rsidTr="004D736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7.</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D30D8C">
            <w:pPr>
              <w:widowControl w:val="0"/>
              <w:numPr>
                <w:ilvl w:val="0"/>
                <w:numId w:val="47"/>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D30D8C" w:rsidRPr="00D73551" w:rsidRDefault="00D30D8C" w:rsidP="00D30D8C">
            <w:pPr>
              <w:widowControl w:val="0"/>
              <w:numPr>
                <w:ilvl w:val="0"/>
                <w:numId w:val="47"/>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 xml:space="preserve">Невідповідність документів вимогам, установленим </w:t>
            </w:r>
            <w:r w:rsidRPr="00D73551">
              <w:rPr>
                <w:rFonts w:ascii="Times New Roman" w:eastAsia="Times New Roman" w:hAnsi="Times New Roman" w:cs="Times New Roman"/>
                <w:kern w:val="3"/>
                <w:lang w:val="uk-UA" w:eastAsia="uk-UA"/>
              </w:rPr>
              <w:br/>
              <w:t>статтею 15 Закону;</w:t>
            </w:r>
          </w:p>
          <w:p w:rsidR="00D30D8C" w:rsidRPr="00D73551" w:rsidRDefault="00D30D8C" w:rsidP="00D30D8C">
            <w:pPr>
              <w:widowControl w:val="0"/>
              <w:numPr>
                <w:ilvl w:val="0"/>
                <w:numId w:val="47"/>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D30D8C" w:rsidRPr="00D73551" w:rsidRDefault="00D30D8C" w:rsidP="00D30D8C">
            <w:pPr>
              <w:widowControl w:val="0"/>
              <w:numPr>
                <w:ilvl w:val="0"/>
                <w:numId w:val="47"/>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D30D8C" w:rsidRPr="00D73551" w:rsidRDefault="00D30D8C" w:rsidP="00D30D8C">
            <w:pPr>
              <w:widowControl w:val="0"/>
              <w:numPr>
                <w:ilvl w:val="0"/>
                <w:numId w:val="47"/>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D30D8C" w:rsidRPr="00D73551" w:rsidRDefault="00D30D8C" w:rsidP="00D30D8C">
            <w:pPr>
              <w:widowControl w:val="0"/>
              <w:numPr>
                <w:ilvl w:val="0"/>
                <w:numId w:val="47"/>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Несплата адміністративного збору або сплата не в повному обсязі;</w:t>
            </w:r>
          </w:p>
        </w:tc>
      </w:tr>
      <w:tr w:rsidR="00D30D8C" w:rsidRPr="00D73551" w:rsidTr="004D7369">
        <w:trPr>
          <w:trHeight w:val="20"/>
        </w:trPr>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8.</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Перелік підстав для відмови у державній реєстрації</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D30D8C">
            <w:pPr>
              <w:widowControl w:val="0"/>
              <w:numPr>
                <w:ilvl w:val="0"/>
                <w:numId w:val="48"/>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Документи подано особою, яка не має на це повноважень;</w:t>
            </w:r>
          </w:p>
          <w:p w:rsidR="00D30D8C" w:rsidRPr="00D73551" w:rsidRDefault="00D30D8C" w:rsidP="00D30D8C">
            <w:pPr>
              <w:widowControl w:val="0"/>
              <w:numPr>
                <w:ilvl w:val="0"/>
                <w:numId w:val="48"/>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У ЄДР містяться відомості про судове рішення щодо заборони у проведенні реєстраційної дії;</w:t>
            </w:r>
          </w:p>
          <w:p w:rsidR="00D30D8C" w:rsidRPr="00D73551" w:rsidRDefault="00D30D8C" w:rsidP="00D30D8C">
            <w:pPr>
              <w:widowControl w:val="0"/>
              <w:numPr>
                <w:ilvl w:val="0"/>
                <w:numId w:val="48"/>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tc>
      </w:tr>
      <w:tr w:rsidR="00D30D8C" w:rsidRPr="00F1668D" w:rsidTr="004D736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9.</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 xml:space="preserve">Акти законодавства щодо </w:t>
            </w:r>
            <w:r w:rsidRPr="00D73551">
              <w:rPr>
                <w:rFonts w:ascii="Times New Roman" w:eastAsia="Times New Roman" w:hAnsi="Times New Roman" w:cs="Times New Roman"/>
                <w:kern w:val="3"/>
                <w:lang w:val="uk-UA" w:eastAsia="uk-UA"/>
              </w:rPr>
              <w:lastRenderedPageBreak/>
              <w:t>надання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D30D8C" w:rsidRPr="00D73551" w:rsidRDefault="00D30D8C" w:rsidP="00D30D8C">
            <w:pPr>
              <w:widowControl w:val="0"/>
              <w:numPr>
                <w:ilvl w:val="0"/>
                <w:numId w:val="49"/>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lastRenderedPageBreak/>
              <w:t xml:space="preserve">Закон України «Про державну реєстрацію </w:t>
            </w:r>
            <w:r w:rsidRPr="00D73551">
              <w:rPr>
                <w:rFonts w:ascii="Times New Roman" w:eastAsia="Times New Roman" w:hAnsi="Times New Roman" w:cs="Times New Roman"/>
                <w:kern w:val="3"/>
                <w:lang w:val="uk-UA" w:eastAsia="uk-UA"/>
              </w:rPr>
              <w:lastRenderedPageBreak/>
              <w:t>юридичних осіб, фізичних осіб – підприємців та громадських формувань» (ст.18, 26, 36);</w:t>
            </w:r>
          </w:p>
          <w:p w:rsidR="00D30D8C" w:rsidRPr="00D73551" w:rsidRDefault="00D30D8C" w:rsidP="00D30D8C">
            <w:pPr>
              <w:widowControl w:val="0"/>
              <w:numPr>
                <w:ilvl w:val="0"/>
                <w:numId w:val="49"/>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 xml:space="preserve">Постанова Кабінету Міністрів України від 25.12.2015 </w:t>
            </w:r>
            <w:r w:rsidRPr="00D73551">
              <w:rPr>
                <w:rFonts w:ascii="Times New Roman" w:eastAsia="Times New Roman" w:hAnsi="Times New Roman" w:cs="Times New Roman"/>
                <w:kern w:val="3"/>
                <w:lang w:val="uk-UA"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p w:rsidR="00D30D8C" w:rsidRPr="00D73551" w:rsidRDefault="00D30D8C" w:rsidP="00D30D8C">
            <w:pPr>
              <w:widowControl w:val="0"/>
              <w:numPr>
                <w:ilvl w:val="0"/>
                <w:numId w:val="49"/>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Наказ Міністерства юстиції України від 06.01.2016</w:t>
            </w:r>
            <w:r w:rsidRPr="00D73551">
              <w:rPr>
                <w:rFonts w:ascii="Times New Roman" w:eastAsia="Times New Roman" w:hAnsi="Times New Roman" w:cs="Times New Roman"/>
                <w:kern w:val="3"/>
                <w:lang w:val="uk-UA" w:eastAsia="uk-UA"/>
              </w:rPr>
              <w:br/>
              <w:t>№ 15/5 «Про затвердження форм заяв у сфері державної реєстрації юридичних осіб, фізичних осіб – підприємців та громадських формувань»;</w:t>
            </w:r>
          </w:p>
          <w:p w:rsidR="00D30D8C" w:rsidRPr="00D73551" w:rsidRDefault="00D30D8C" w:rsidP="00D30D8C">
            <w:pPr>
              <w:widowControl w:val="0"/>
              <w:numPr>
                <w:ilvl w:val="0"/>
                <w:numId w:val="49"/>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D30D8C" w:rsidRPr="00D73551" w:rsidRDefault="00D30D8C" w:rsidP="00D30D8C">
            <w:pPr>
              <w:widowControl w:val="0"/>
              <w:numPr>
                <w:ilvl w:val="0"/>
                <w:numId w:val="49"/>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 xml:space="preserve">Наказ Міністерства юстиції України від 23.03.2016 </w:t>
            </w:r>
            <w:r w:rsidRPr="00D73551">
              <w:rPr>
                <w:rFonts w:ascii="Times New Roman" w:eastAsia="Times New Roman" w:hAnsi="Times New Roman" w:cs="Times New Roman"/>
                <w:kern w:val="3"/>
                <w:lang w:val="uk-UA" w:eastAsia="uk-UA"/>
              </w:rPr>
              <w:br/>
              <w:t xml:space="preserve">№ 784/5 «Про затвердження Порядку функціонування порталу електронних сервісів юридичних осіб, фізичних </w:t>
            </w:r>
            <w:r w:rsidRPr="00D73551">
              <w:rPr>
                <w:rFonts w:ascii="Times New Roman" w:eastAsia="Times New Roman" w:hAnsi="Times New Roman" w:cs="Times New Roman"/>
                <w:kern w:val="3"/>
                <w:lang w:val="uk-UA" w:eastAsia="uk-UA"/>
              </w:rPr>
              <w:br/>
              <w:t>осіб – підприємців та громадських формувань, що не мають статусу юридичної особи».</w:t>
            </w:r>
          </w:p>
        </w:tc>
      </w:tr>
    </w:tbl>
    <w:p w:rsidR="00D30D8C" w:rsidRPr="00D73551" w:rsidRDefault="00D30D8C" w:rsidP="00D30D8C">
      <w:pPr>
        <w:suppressAutoHyphens/>
        <w:autoSpaceDN w:val="0"/>
        <w:spacing w:after="0" w:line="240" w:lineRule="auto"/>
        <w:jc w:val="both"/>
        <w:textAlignment w:val="baseline"/>
        <w:rPr>
          <w:rFonts w:ascii="Times New Roman" w:eastAsia="Times New Roman" w:hAnsi="Times New Roman" w:cs="Times New Roman"/>
          <w:kern w:val="3"/>
          <w:lang w:val="uk-UA"/>
        </w:rPr>
      </w:pPr>
    </w:p>
    <w:p w:rsidR="00AF49CD" w:rsidRPr="00B64D02" w:rsidRDefault="00AF49CD" w:rsidP="00AF49CD">
      <w:pPr>
        <w:suppressAutoHyphens/>
        <w:autoSpaceDN w:val="0"/>
        <w:spacing w:after="0" w:line="240" w:lineRule="auto"/>
        <w:ind w:hanging="284"/>
        <w:jc w:val="both"/>
        <w:textAlignment w:val="baseline"/>
        <w:rPr>
          <w:rFonts w:ascii="Times New Roman" w:eastAsia="Times New Roman" w:hAnsi="Times New Roman" w:cs="Times New Roman"/>
          <w:kern w:val="3"/>
          <w:lang w:val="uk-UA"/>
        </w:rPr>
      </w:pPr>
      <w:bookmarkStart w:id="0" w:name="_GoBack"/>
      <w:bookmarkEnd w:id="0"/>
    </w:p>
    <w:p w:rsidR="000B1098" w:rsidRPr="00AF49CD" w:rsidRDefault="000B1098" w:rsidP="00AF49CD">
      <w:pPr>
        <w:rPr>
          <w:lang w:val="uk-UA"/>
        </w:rPr>
      </w:pPr>
    </w:p>
    <w:sectPr w:rsidR="000B1098" w:rsidRPr="00AF4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8F2"/>
    <w:multiLevelType w:val="multilevel"/>
    <w:tmpl w:val="7BD887C6"/>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575EB9"/>
    <w:multiLevelType w:val="multilevel"/>
    <w:tmpl w:val="5A90B0C0"/>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73B09E2"/>
    <w:multiLevelType w:val="multilevel"/>
    <w:tmpl w:val="A024114C"/>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D7339DD"/>
    <w:multiLevelType w:val="multilevel"/>
    <w:tmpl w:val="29D661E2"/>
    <w:styleLink w:val="WWNum4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F4E2C65"/>
    <w:multiLevelType w:val="multilevel"/>
    <w:tmpl w:val="B98E3460"/>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0F50CDB"/>
    <w:multiLevelType w:val="multilevel"/>
    <w:tmpl w:val="D34A763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2AF4A14"/>
    <w:multiLevelType w:val="multilevel"/>
    <w:tmpl w:val="4ADAFA62"/>
    <w:styleLink w:val="WWNum6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3BB66C9"/>
    <w:multiLevelType w:val="multilevel"/>
    <w:tmpl w:val="05B8CD76"/>
    <w:styleLink w:val="WWNum6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4980611"/>
    <w:multiLevelType w:val="multilevel"/>
    <w:tmpl w:val="D9F634BA"/>
    <w:styleLink w:val="WWNum2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5490C78"/>
    <w:multiLevelType w:val="multilevel"/>
    <w:tmpl w:val="064E2356"/>
    <w:styleLink w:val="WWNum4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6F37204"/>
    <w:multiLevelType w:val="multilevel"/>
    <w:tmpl w:val="A5F8B76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70A6EE9"/>
    <w:multiLevelType w:val="multilevel"/>
    <w:tmpl w:val="81E474FA"/>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7801D8C"/>
    <w:multiLevelType w:val="multilevel"/>
    <w:tmpl w:val="68EEFAD0"/>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8143484"/>
    <w:multiLevelType w:val="multilevel"/>
    <w:tmpl w:val="F42AB75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889481D"/>
    <w:multiLevelType w:val="multilevel"/>
    <w:tmpl w:val="7FA09F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2DA12CD"/>
    <w:multiLevelType w:val="multilevel"/>
    <w:tmpl w:val="0AE68270"/>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3987F79"/>
    <w:multiLevelType w:val="multilevel"/>
    <w:tmpl w:val="11D45562"/>
    <w:styleLink w:val="WWNum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72428C5"/>
    <w:multiLevelType w:val="multilevel"/>
    <w:tmpl w:val="A15CB870"/>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7D05F9C"/>
    <w:multiLevelType w:val="multilevel"/>
    <w:tmpl w:val="43126FD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7DF14C9"/>
    <w:multiLevelType w:val="multilevel"/>
    <w:tmpl w:val="1F0687C4"/>
    <w:styleLink w:val="WWNum1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9787C0C"/>
    <w:multiLevelType w:val="multilevel"/>
    <w:tmpl w:val="5CAA4E06"/>
    <w:styleLink w:val="WWNum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11C0626"/>
    <w:multiLevelType w:val="multilevel"/>
    <w:tmpl w:val="FC5E2A88"/>
    <w:styleLink w:val="WWNum4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3D91B16"/>
    <w:multiLevelType w:val="multilevel"/>
    <w:tmpl w:val="83688E1E"/>
    <w:styleLink w:val="WWNum16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6FE4322"/>
    <w:multiLevelType w:val="multilevel"/>
    <w:tmpl w:val="893E78B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7B1230C"/>
    <w:multiLevelType w:val="multilevel"/>
    <w:tmpl w:val="5C4420F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ABA18A0"/>
    <w:multiLevelType w:val="multilevel"/>
    <w:tmpl w:val="E580EE74"/>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C104BC6"/>
    <w:multiLevelType w:val="multilevel"/>
    <w:tmpl w:val="50345232"/>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525955BB"/>
    <w:multiLevelType w:val="multilevel"/>
    <w:tmpl w:val="828E2524"/>
    <w:styleLink w:val="WWNum80"/>
    <w:lvl w:ilvl="0">
      <w:start w:val="1"/>
      <w:numFmt w:val="decimal"/>
      <w:lvlText w:val="%1."/>
      <w:lvlJc w:val="left"/>
      <w:rPr>
        <w:b w:val="0"/>
      </w:rPr>
    </w:lvl>
    <w:lvl w:ilvl="1">
      <w:numFmt w:val="bullet"/>
      <w:lvlText w:val="-"/>
      <w:lvlJc w:val="left"/>
      <w:rPr>
        <w:rFonts w:ascii="Times New Roman" w:eastAsia="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3DC5875"/>
    <w:multiLevelType w:val="multilevel"/>
    <w:tmpl w:val="884C4460"/>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3F0733D"/>
    <w:multiLevelType w:val="multilevel"/>
    <w:tmpl w:val="8C6453E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5EA3DAE"/>
    <w:multiLevelType w:val="multilevel"/>
    <w:tmpl w:val="E41A37F4"/>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63504BD"/>
    <w:multiLevelType w:val="multilevel"/>
    <w:tmpl w:val="05CEF5B4"/>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6B77D4C"/>
    <w:multiLevelType w:val="multilevel"/>
    <w:tmpl w:val="615A478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457320C"/>
    <w:multiLevelType w:val="multilevel"/>
    <w:tmpl w:val="6D32B618"/>
    <w:styleLink w:val="WWNum61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9472282"/>
    <w:multiLevelType w:val="multilevel"/>
    <w:tmpl w:val="0EDA3CAE"/>
    <w:styleLink w:val="WWNum17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6E494885"/>
    <w:multiLevelType w:val="multilevel"/>
    <w:tmpl w:val="8FAC60B4"/>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5730CD4"/>
    <w:multiLevelType w:val="multilevel"/>
    <w:tmpl w:val="90720F7C"/>
    <w:styleLink w:val="WWNum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76D06857"/>
    <w:multiLevelType w:val="multilevel"/>
    <w:tmpl w:val="2730A9E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774A34A5"/>
    <w:multiLevelType w:val="multilevel"/>
    <w:tmpl w:val="AFBEA40C"/>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A4158BD"/>
    <w:multiLevelType w:val="multilevel"/>
    <w:tmpl w:val="17F0D714"/>
    <w:styleLink w:val="WWNum6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CFD4D50"/>
    <w:multiLevelType w:val="multilevel"/>
    <w:tmpl w:val="902C887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9"/>
  </w:num>
  <w:num w:numId="2">
    <w:abstractNumId w:val="14"/>
  </w:num>
  <w:num w:numId="3">
    <w:abstractNumId w:val="5"/>
  </w:num>
  <w:num w:numId="4">
    <w:abstractNumId w:val="32"/>
  </w:num>
  <w:num w:numId="5">
    <w:abstractNumId w:val="12"/>
  </w:num>
  <w:num w:numId="6">
    <w:abstractNumId w:val="34"/>
  </w:num>
  <w:num w:numId="7">
    <w:abstractNumId w:val="19"/>
  </w:num>
  <w:num w:numId="8">
    <w:abstractNumId w:val="37"/>
  </w:num>
  <w:num w:numId="9">
    <w:abstractNumId w:val="22"/>
  </w:num>
  <w:num w:numId="10">
    <w:abstractNumId w:val="24"/>
  </w:num>
  <w:num w:numId="11">
    <w:abstractNumId w:val="23"/>
  </w:num>
  <w:num w:numId="12">
    <w:abstractNumId w:val="18"/>
  </w:num>
  <w:num w:numId="13">
    <w:abstractNumId w:val="27"/>
  </w:num>
  <w:num w:numId="14">
    <w:abstractNumId w:val="3"/>
  </w:num>
  <w:num w:numId="15">
    <w:abstractNumId w:val="21"/>
  </w:num>
  <w:num w:numId="16">
    <w:abstractNumId w:val="1"/>
  </w:num>
  <w:num w:numId="17">
    <w:abstractNumId w:val="9"/>
  </w:num>
  <w:num w:numId="18">
    <w:abstractNumId w:val="17"/>
  </w:num>
  <w:num w:numId="19">
    <w:abstractNumId w:val="13"/>
  </w:num>
  <w:num w:numId="20">
    <w:abstractNumId w:val="38"/>
  </w:num>
  <w:num w:numId="21">
    <w:abstractNumId w:val="0"/>
  </w:num>
  <w:num w:numId="22">
    <w:abstractNumId w:val="10"/>
  </w:num>
  <w:num w:numId="23">
    <w:abstractNumId w:val="33"/>
  </w:num>
  <w:num w:numId="24">
    <w:abstractNumId w:val="6"/>
  </w:num>
  <w:num w:numId="25">
    <w:abstractNumId w:val="7"/>
  </w:num>
  <w:num w:numId="26">
    <w:abstractNumId w:val="39"/>
  </w:num>
  <w:num w:numId="27">
    <w:abstractNumId w:val="30"/>
  </w:num>
  <w:num w:numId="28">
    <w:abstractNumId w:val="40"/>
  </w:num>
  <w:num w:numId="29">
    <w:abstractNumId w:val="8"/>
  </w:num>
  <w:num w:numId="30">
    <w:abstractNumId w:val="39"/>
    <w:lvlOverride w:ilvl="0">
      <w:startOverride w:val="1"/>
    </w:lvlOverride>
  </w:num>
  <w:num w:numId="31">
    <w:abstractNumId w:val="30"/>
    <w:lvlOverride w:ilvl="0">
      <w:startOverride w:val="1"/>
    </w:lvlOverride>
  </w:num>
  <w:num w:numId="32">
    <w:abstractNumId w:val="40"/>
    <w:lvlOverride w:ilvl="0">
      <w:startOverride w:val="1"/>
    </w:lvlOverride>
  </w:num>
  <w:num w:numId="33">
    <w:abstractNumId w:val="8"/>
    <w:lvlOverride w:ilvl="0">
      <w:startOverride w:val="1"/>
    </w:lvlOverride>
  </w:num>
  <w:num w:numId="34">
    <w:abstractNumId w:val="11"/>
  </w:num>
  <w:num w:numId="35">
    <w:abstractNumId w:val="4"/>
  </w:num>
  <w:num w:numId="36">
    <w:abstractNumId w:val="31"/>
  </w:num>
  <w:num w:numId="37">
    <w:abstractNumId w:val="26"/>
  </w:num>
  <w:num w:numId="38">
    <w:abstractNumId w:val="11"/>
    <w:lvlOverride w:ilvl="0">
      <w:startOverride w:val="1"/>
    </w:lvlOverride>
  </w:num>
  <w:num w:numId="39">
    <w:abstractNumId w:val="4"/>
    <w:lvlOverride w:ilvl="0">
      <w:startOverride w:val="1"/>
    </w:lvlOverride>
  </w:num>
  <w:num w:numId="40">
    <w:abstractNumId w:val="31"/>
    <w:lvlOverride w:ilvl="0">
      <w:startOverride w:val="1"/>
    </w:lvlOverride>
  </w:num>
  <w:num w:numId="41">
    <w:abstractNumId w:val="26"/>
    <w:lvlOverride w:ilvl="0">
      <w:startOverride w:val="1"/>
    </w:lvlOverride>
  </w:num>
  <w:num w:numId="42">
    <w:abstractNumId w:val="20"/>
  </w:num>
  <w:num w:numId="43">
    <w:abstractNumId w:val="28"/>
  </w:num>
  <w:num w:numId="44">
    <w:abstractNumId w:val="25"/>
  </w:num>
  <w:num w:numId="45">
    <w:abstractNumId w:val="15"/>
  </w:num>
  <w:num w:numId="46">
    <w:abstractNumId w:val="2"/>
  </w:num>
  <w:num w:numId="47">
    <w:abstractNumId w:val="35"/>
  </w:num>
  <w:num w:numId="48">
    <w:abstractNumId w:val="16"/>
  </w:num>
  <w:num w:numId="4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6C"/>
    <w:rsid w:val="000B1098"/>
    <w:rsid w:val="00164A26"/>
    <w:rsid w:val="001D5E27"/>
    <w:rsid w:val="0020156C"/>
    <w:rsid w:val="003D4690"/>
    <w:rsid w:val="005B48A4"/>
    <w:rsid w:val="00632F74"/>
    <w:rsid w:val="006678B8"/>
    <w:rsid w:val="00762090"/>
    <w:rsid w:val="009B246D"/>
    <w:rsid w:val="009F20A5"/>
    <w:rsid w:val="00A22848"/>
    <w:rsid w:val="00A5598E"/>
    <w:rsid w:val="00AF49CD"/>
    <w:rsid w:val="00BC0455"/>
    <w:rsid w:val="00C42E0E"/>
    <w:rsid w:val="00C5607E"/>
    <w:rsid w:val="00C702FF"/>
    <w:rsid w:val="00C74F50"/>
    <w:rsid w:val="00CB265F"/>
    <w:rsid w:val="00D30D8C"/>
    <w:rsid w:val="00E07D80"/>
    <w:rsid w:val="00E56CF0"/>
    <w:rsid w:val="00E9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8"/>
      </w:numPr>
    </w:pPr>
  </w:style>
  <w:style w:type="numbering" w:customStyle="1" w:styleId="WWNum161">
    <w:name w:val="WWNum161"/>
    <w:basedOn w:val="a2"/>
    <w:rsid w:val="00E07D80"/>
    <w:pPr>
      <w:numPr>
        <w:numId w:val="9"/>
      </w:numPr>
    </w:pPr>
  </w:style>
  <w:style w:type="numbering" w:customStyle="1" w:styleId="WWNum171">
    <w:name w:val="WWNum171"/>
    <w:basedOn w:val="a2"/>
    <w:rsid w:val="00E07D80"/>
    <w:pPr>
      <w:numPr>
        <w:numId w:val="6"/>
      </w:numPr>
    </w:pPr>
  </w:style>
  <w:style w:type="numbering" w:customStyle="1" w:styleId="WWNum181">
    <w:name w:val="WWNum181"/>
    <w:basedOn w:val="a2"/>
    <w:rsid w:val="00E07D80"/>
    <w:pPr>
      <w:numPr>
        <w:numId w:val="7"/>
      </w:numPr>
    </w:pPr>
  </w:style>
  <w:style w:type="numbering" w:customStyle="1" w:styleId="WWNum8">
    <w:name w:val="WWNum8"/>
    <w:basedOn w:val="a2"/>
    <w:rsid w:val="00CB265F"/>
    <w:pPr>
      <w:numPr>
        <w:numId w:val="10"/>
      </w:numPr>
    </w:pPr>
  </w:style>
  <w:style w:type="numbering" w:customStyle="1" w:styleId="WWNum9">
    <w:name w:val="WWNum9"/>
    <w:basedOn w:val="a2"/>
    <w:rsid w:val="00CB265F"/>
    <w:pPr>
      <w:numPr>
        <w:numId w:val="11"/>
      </w:numPr>
    </w:pPr>
  </w:style>
  <w:style w:type="numbering" w:customStyle="1" w:styleId="WWNum10">
    <w:name w:val="WWNum10"/>
    <w:basedOn w:val="a2"/>
    <w:rsid w:val="00CB265F"/>
    <w:pPr>
      <w:numPr>
        <w:numId w:val="12"/>
      </w:numPr>
    </w:pPr>
  </w:style>
  <w:style w:type="numbering" w:customStyle="1" w:styleId="WWNum80">
    <w:name w:val="WWNum80"/>
    <w:basedOn w:val="a2"/>
    <w:rsid w:val="00CB265F"/>
    <w:pPr>
      <w:numPr>
        <w:numId w:val="13"/>
      </w:numPr>
    </w:pPr>
  </w:style>
  <w:style w:type="numbering" w:customStyle="1" w:styleId="WWNum451">
    <w:name w:val="WWNum451"/>
    <w:basedOn w:val="a2"/>
    <w:rsid w:val="00AF49CD"/>
    <w:pPr>
      <w:numPr>
        <w:numId w:val="15"/>
      </w:numPr>
    </w:pPr>
  </w:style>
  <w:style w:type="numbering" w:customStyle="1" w:styleId="WWNum461">
    <w:name w:val="WWNum461"/>
    <w:basedOn w:val="a2"/>
    <w:rsid w:val="00AF49CD"/>
    <w:pPr>
      <w:numPr>
        <w:numId w:val="16"/>
      </w:numPr>
    </w:pPr>
  </w:style>
  <w:style w:type="numbering" w:customStyle="1" w:styleId="WWNum471">
    <w:name w:val="WWNum471"/>
    <w:basedOn w:val="a2"/>
    <w:rsid w:val="00AF49CD"/>
    <w:pPr>
      <w:numPr>
        <w:numId w:val="17"/>
      </w:numPr>
    </w:pPr>
  </w:style>
  <w:style w:type="numbering" w:customStyle="1" w:styleId="WWNum481">
    <w:name w:val="WWNum481"/>
    <w:basedOn w:val="a2"/>
    <w:rsid w:val="00AF49CD"/>
    <w:pPr>
      <w:numPr>
        <w:numId w:val="14"/>
      </w:numPr>
    </w:pPr>
  </w:style>
  <w:style w:type="numbering" w:customStyle="1" w:styleId="WWNum45">
    <w:name w:val="WWNum45"/>
    <w:basedOn w:val="a2"/>
    <w:rsid w:val="00BC0455"/>
    <w:pPr>
      <w:numPr>
        <w:numId w:val="18"/>
      </w:numPr>
    </w:pPr>
  </w:style>
  <w:style w:type="numbering" w:customStyle="1" w:styleId="WWNum46">
    <w:name w:val="WWNum46"/>
    <w:basedOn w:val="a2"/>
    <w:rsid w:val="00BC0455"/>
    <w:pPr>
      <w:numPr>
        <w:numId w:val="19"/>
      </w:numPr>
    </w:pPr>
  </w:style>
  <w:style w:type="numbering" w:customStyle="1" w:styleId="WWNum47">
    <w:name w:val="WWNum47"/>
    <w:basedOn w:val="a2"/>
    <w:rsid w:val="00BC0455"/>
    <w:pPr>
      <w:numPr>
        <w:numId w:val="20"/>
      </w:numPr>
    </w:pPr>
  </w:style>
  <w:style w:type="numbering" w:customStyle="1" w:styleId="WWNum48">
    <w:name w:val="WWNum48"/>
    <w:basedOn w:val="a2"/>
    <w:rsid w:val="00BC0455"/>
    <w:pPr>
      <w:numPr>
        <w:numId w:val="21"/>
      </w:numPr>
    </w:pPr>
  </w:style>
  <w:style w:type="numbering" w:customStyle="1" w:styleId="WWNum25">
    <w:name w:val="WWNum25"/>
    <w:basedOn w:val="a2"/>
    <w:rsid w:val="00E9242C"/>
    <w:pPr>
      <w:numPr>
        <w:numId w:val="22"/>
      </w:numPr>
    </w:pPr>
  </w:style>
  <w:style w:type="numbering" w:customStyle="1" w:styleId="WWNum611">
    <w:name w:val="WWNum611"/>
    <w:basedOn w:val="a2"/>
    <w:rsid w:val="00E9242C"/>
    <w:pPr>
      <w:numPr>
        <w:numId w:val="23"/>
      </w:numPr>
    </w:pPr>
  </w:style>
  <w:style w:type="numbering" w:customStyle="1" w:styleId="WWNum621">
    <w:name w:val="WWNum621"/>
    <w:basedOn w:val="a2"/>
    <w:rsid w:val="00E9242C"/>
    <w:pPr>
      <w:numPr>
        <w:numId w:val="24"/>
      </w:numPr>
    </w:pPr>
  </w:style>
  <w:style w:type="numbering" w:customStyle="1" w:styleId="WWNum631">
    <w:name w:val="WWNum631"/>
    <w:basedOn w:val="a2"/>
    <w:rsid w:val="00E9242C"/>
    <w:pPr>
      <w:numPr>
        <w:numId w:val="25"/>
      </w:numPr>
    </w:pPr>
  </w:style>
  <w:style w:type="numbering" w:customStyle="1" w:styleId="WWNum20">
    <w:name w:val="WWNum20"/>
    <w:basedOn w:val="a2"/>
    <w:rsid w:val="009F20A5"/>
    <w:pPr>
      <w:numPr>
        <w:numId w:val="27"/>
      </w:numPr>
    </w:pPr>
  </w:style>
  <w:style w:type="numbering" w:customStyle="1" w:styleId="WWNum211">
    <w:name w:val="WWNum211"/>
    <w:basedOn w:val="a2"/>
    <w:rsid w:val="009F20A5"/>
    <w:pPr>
      <w:numPr>
        <w:numId w:val="28"/>
      </w:numPr>
    </w:pPr>
  </w:style>
  <w:style w:type="numbering" w:customStyle="1" w:styleId="WWNum221">
    <w:name w:val="WWNum221"/>
    <w:basedOn w:val="a2"/>
    <w:rsid w:val="009F20A5"/>
    <w:pPr>
      <w:numPr>
        <w:numId w:val="29"/>
      </w:numPr>
    </w:pPr>
  </w:style>
  <w:style w:type="numbering" w:customStyle="1" w:styleId="WWNum641">
    <w:name w:val="WWNum641"/>
    <w:basedOn w:val="a2"/>
    <w:rsid w:val="009F20A5"/>
    <w:pPr>
      <w:numPr>
        <w:numId w:val="26"/>
      </w:numPr>
    </w:pPr>
  </w:style>
  <w:style w:type="numbering" w:customStyle="1" w:styleId="WWNum53">
    <w:name w:val="WWNum53"/>
    <w:basedOn w:val="a2"/>
    <w:rsid w:val="00762090"/>
    <w:pPr>
      <w:numPr>
        <w:numId w:val="34"/>
      </w:numPr>
    </w:pPr>
  </w:style>
  <w:style w:type="numbering" w:customStyle="1" w:styleId="WWNum54">
    <w:name w:val="WWNum54"/>
    <w:basedOn w:val="a2"/>
    <w:rsid w:val="00762090"/>
    <w:pPr>
      <w:numPr>
        <w:numId w:val="35"/>
      </w:numPr>
    </w:pPr>
  </w:style>
  <w:style w:type="numbering" w:customStyle="1" w:styleId="WWNum55">
    <w:name w:val="WWNum55"/>
    <w:basedOn w:val="a2"/>
    <w:rsid w:val="00762090"/>
    <w:pPr>
      <w:numPr>
        <w:numId w:val="36"/>
      </w:numPr>
    </w:pPr>
  </w:style>
  <w:style w:type="numbering" w:customStyle="1" w:styleId="WWNum56">
    <w:name w:val="WWNum56"/>
    <w:basedOn w:val="a2"/>
    <w:rsid w:val="00762090"/>
    <w:pPr>
      <w:numPr>
        <w:numId w:val="37"/>
      </w:numPr>
    </w:pPr>
  </w:style>
  <w:style w:type="numbering" w:customStyle="1" w:styleId="WWNum41">
    <w:name w:val="WWNum41"/>
    <w:basedOn w:val="a2"/>
    <w:rsid w:val="00A5598E"/>
    <w:pPr>
      <w:numPr>
        <w:numId w:val="42"/>
      </w:numPr>
    </w:pPr>
  </w:style>
  <w:style w:type="numbering" w:customStyle="1" w:styleId="WWNum42">
    <w:name w:val="WWNum42"/>
    <w:basedOn w:val="a2"/>
    <w:rsid w:val="00A5598E"/>
    <w:pPr>
      <w:numPr>
        <w:numId w:val="43"/>
      </w:numPr>
    </w:pPr>
  </w:style>
  <w:style w:type="numbering" w:customStyle="1" w:styleId="WWNum43">
    <w:name w:val="WWNum43"/>
    <w:basedOn w:val="a2"/>
    <w:rsid w:val="00A5598E"/>
    <w:pPr>
      <w:numPr>
        <w:numId w:val="44"/>
      </w:numPr>
    </w:pPr>
  </w:style>
  <w:style w:type="numbering" w:customStyle="1" w:styleId="WWNum44">
    <w:name w:val="WWNum44"/>
    <w:basedOn w:val="a2"/>
    <w:rsid w:val="00A5598E"/>
    <w:pPr>
      <w:numPr>
        <w:numId w:val="45"/>
      </w:numPr>
    </w:pPr>
  </w:style>
  <w:style w:type="numbering" w:customStyle="1" w:styleId="WWNum65">
    <w:name w:val="WWNum65"/>
    <w:basedOn w:val="a2"/>
    <w:rsid w:val="00D30D8C"/>
    <w:pPr>
      <w:numPr>
        <w:numId w:val="46"/>
      </w:numPr>
    </w:pPr>
  </w:style>
  <w:style w:type="numbering" w:customStyle="1" w:styleId="WWNum66">
    <w:name w:val="WWNum66"/>
    <w:basedOn w:val="a2"/>
    <w:rsid w:val="00D30D8C"/>
    <w:pPr>
      <w:numPr>
        <w:numId w:val="47"/>
      </w:numPr>
    </w:pPr>
  </w:style>
  <w:style w:type="numbering" w:customStyle="1" w:styleId="WWNum67">
    <w:name w:val="WWNum67"/>
    <w:basedOn w:val="a2"/>
    <w:rsid w:val="00D30D8C"/>
    <w:pPr>
      <w:numPr>
        <w:numId w:val="48"/>
      </w:numPr>
    </w:pPr>
  </w:style>
  <w:style w:type="numbering" w:customStyle="1" w:styleId="WWNum68">
    <w:name w:val="WWNum68"/>
    <w:basedOn w:val="a2"/>
    <w:rsid w:val="00D30D8C"/>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8"/>
      </w:numPr>
    </w:pPr>
  </w:style>
  <w:style w:type="numbering" w:customStyle="1" w:styleId="WWNum161">
    <w:name w:val="WWNum161"/>
    <w:basedOn w:val="a2"/>
    <w:rsid w:val="00E07D80"/>
    <w:pPr>
      <w:numPr>
        <w:numId w:val="9"/>
      </w:numPr>
    </w:pPr>
  </w:style>
  <w:style w:type="numbering" w:customStyle="1" w:styleId="WWNum171">
    <w:name w:val="WWNum171"/>
    <w:basedOn w:val="a2"/>
    <w:rsid w:val="00E07D80"/>
    <w:pPr>
      <w:numPr>
        <w:numId w:val="6"/>
      </w:numPr>
    </w:pPr>
  </w:style>
  <w:style w:type="numbering" w:customStyle="1" w:styleId="WWNum181">
    <w:name w:val="WWNum181"/>
    <w:basedOn w:val="a2"/>
    <w:rsid w:val="00E07D80"/>
    <w:pPr>
      <w:numPr>
        <w:numId w:val="7"/>
      </w:numPr>
    </w:pPr>
  </w:style>
  <w:style w:type="numbering" w:customStyle="1" w:styleId="WWNum8">
    <w:name w:val="WWNum8"/>
    <w:basedOn w:val="a2"/>
    <w:rsid w:val="00CB265F"/>
    <w:pPr>
      <w:numPr>
        <w:numId w:val="10"/>
      </w:numPr>
    </w:pPr>
  </w:style>
  <w:style w:type="numbering" w:customStyle="1" w:styleId="WWNum9">
    <w:name w:val="WWNum9"/>
    <w:basedOn w:val="a2"/>
    <w:rsid w:val="00CB265F"/>
    <w:pPr>
      <w:numPr>
        <w:numId w:val="11"/>
      </w:numPr>
    </w:pPr>
  </w:style>
  <w:style w:type="numbering" w:customStyle="1" w:styleId="WWNum10">
    <w:name w:val="WWNum10"/>
    <w:basedOn w:val="a2"/>
    <w:rsid w:val="00CB265F"/>
    <w:pPr>
      <w:numPr>
        <w:numId w:val="12"/>
      </w:numPr>
    </w:pPr>
  </w:style>
  <w:style w:type="numbering" w:customStyle="1" w:styleId="WWNum80">
    <w:name w:val="WWNum80"/>
    <w:basedOn w:val="a2"/>
    <w:rsid w:val="00CB265F"/>
    <w:pPr>
      <w:numPr>
        <w:numId w:val="13"/>
      </w:numPr>
    </w:pPr>
  </w:style>
  <w:style w:type="numbering" w:customStyle="1" w:styleId="WWNum451">
    <w:name w:val="WWNum451"/>
    <w:basedOn w:val="a2"/>
    <w:rsid w:val="00AF49CD"/>
    <w:pPr>
      <w:numPr>
        <w:numId w:val="15"/>
      </w:numPr>
    </w:pPr>
  </w:style>
  <w:style w:type="numbering" w:customStyle="1" w:styleId="WWNum461">
    <w:name w:val="WWNum461"/>
    <w:basedOn w:val="a2"/>
    <w:rsid w:val="00AF49CD"/>
    <w:pPr>
      <w:numPr>
        <w:numId w:val="16"/>
      </w:numPr>
    </w:pPr>
  </w:style>
  <w:style w:type="numbering" w:customStyle="1" w:styleId="WWNum471">
    <w:name w:val="WWNum471"/>
    <w:basedOn w:val="a2"/>
    <w:rsid w:val="00AF49CD"/>
    <w:pPr>
      <w:numPr>
        <w:numId w:val="17"/>
      </w:numPr>
    </w:pPr>
  </w:style>
  <w:style w:type="numbering" w:customStyle="1" w:styleId="WWNum481">
    <w:name w:val="WWNum481"/>
    <w:basedOn w:val="a2"/>
    <w:rsid w:val="00AF49CD"/>
    <w:pPr>
      <w:numPr>
        <w:numId w:val="14"/>
      </w:numPr>
    </w:pPr>
  </w:style>
  <w:style w:type="numbering" w:customStyle="1" w:styleId="WWNum45">
    <w:name w:val="WWNum45"/>
    <w:basedOn w:val="a2"/>
    <w:rsid w:val="00BC0455"/>
    <w:pPr>
      <w:numPr>
        <w:numId w:val="18"/>
      </w:numPr>
    </w:pPr>
  </w:style>
  <w:style w:type="numbering" w:customStyle="1" w:styleId="WWNum46">
    <w:name w:val="WWNum46"/>
    <w:basedOn w:val="a2"/>
    <w:rsid w:val="00BC0455"/>
    <w:pPr>
      <w:numPr>
        <w:numId w:val="19"/>
      </w:numPr>
    </w:pPr>
  </w:style>
  <w:style w:type="numbering" w:customStyle="1" w:styleId="WWNum47">
    <w:name w:val="WWNum47"/>
    <w:basedOn w:val="a2"/>
    <w:rsid w:val="00BC0455"/>
    <w:pPr>
      <w:numPr>
        <w:numId w:val="20"/>
      </w:numPr>
    </w:pPr>
  </w:style>
  <w:style w:type="numbering" w:customStyle="1" w:styleId="WWNum48">
    <w:name w:val="WWNum48"/>
    <w:basedOn w:val="a2"/>
    <w:rsid w:val="00BC0455"/>
    <w:pPr>
      <w:numPr>
        <w:numId w:val="21"/>
      </w:numPr>
    </w:pPr>
  </w:style>
  <w:style w:type="numbering" w:customStyle="1" w:styleId="WWNum25">
    <w:name w:val="WWNum25"/>
    <w:basedOn w:val="a2"/>
    <w:rsid w:val="00E9242C"/>
    <w:pPr>
      <w:numPr>
        <w:numId w:val="22"/>
      </w:numPr>
    </w:pPr>
  </w:style>
  <w:style w:type="numbering" w:customStyle="1" w:styleId="WWNum611">
    <w:name w:val="WWNum611"/>
    <w:basedOn w:val="a2"/>
    <w:rsid w:val="00E9242C"/>
    <w:pPr>
      <w:numPr>
        <w:numId w:val="23"/>
      </w:numPr>
    </w:pPr>
  </w:style>
  <w:style w:type="numbering" w:customStyle="1" w:styleId="WWNum621">
    <w:name w:val="WWNum621"/>
    <w:basedOn w:val="a2"/>
    <w:rsid w:val="00E9242C"/>
    <w:pPr>
      <w:numPr>
        <w:numId w:val="24"/>
      </w:numPr>
    </w:pPr>
  </w:style>
  <w:style w:type="numbering" w:customStyle="1" w:styleId="WWNum631">
    <w:name w:val="WWNum631"/>
    <w:basedOn w:val="a2"/>
    <w:rsid w:val="00E9242C"/>
    <w:pPr>
      <w:numPr>
        <w:numId w:val="25"/>
      </w:numPr>
    </w:pPr>
  </w:style>
  <w:style w:type="numbering" w:customStyle="1" w:styleId="WWNum20">
    <w:name w:val="WWNum20"/>
    <w:basedOn w:val="a2"/>
    <w:rsid w:val="009F20A5"/>
    <w:pPr>
      <w:numPr>
        <w:numId w:val="27"/>
      </w:numPr>
    </w:pPr>
  </w:style>
  <w:style w:type="numbering" w:customStyle="1" w:styleId="WWNum211">
    <w:name w:val="WWNum211"/>
    <w:basedOn w:val="a2"/>
    <w:rsid w:val="009F20A5"/>
    <w:pPr>
      <w:numPr>
        <w:numId w:val="28"/>
      </w:numPr>
    </w:pPr>
  </w:style>
  <w:style w:type="numbering" w:customStyle="1" w:styleId="WWNum221">
    <w:name w:val="WWNum221"/>
    <w:basedOn w:val="a2"/>
    <w:rsid w:val="009F20A5"/>
    <w:pPr>
      <w:numPr>
        <w:numId w:val="29"/>
      </w:numPr>
    </w:pPr>
  </w:style>
  <w:style w:type="numbering" w:customStyle="1" w:styleId="WWNum641">
    <w:name w:val="WWNum641"/>
    <w:basedOn w:val="a2"/>
    <w:rsid w:val="009F20A5"/>
    <w:pPr>
      <w:numPr>
        <w:numId w:val="26"/>
      </w:numPr>
    </w:pPr>
  </w:style>
  <w:style w:type="numbering" w:customStyle="1" w:styleId="WWNum53">
    <w:name w:val="WWNum53"/>
    <w:basedOn w:val="a2"/>
    <w:rsid w:val="00762090"/>
    <w:pPr>
      <w:numPr>
        <w:numId w:val="34"/>
      </w:numPr>
    </w:pPr>
  </w:style>
  <w:style w:type="numbering" w:customStyle="1" w:styleId="WWNum54">
    <w:name w:val="WWNum54"/>
    <w:basedOn w:val="a2"/>
    <w:rsid w:val="00762090"/>
    <w:pPr>
      <w:numPr>
        <w:numId w:val="35"/>
      </w:numPr>
    </w:pPr>
  </w:style>
  <w:style w:type="numbering" w:customStyle="1" w:styleId="WWNum55">
    <w:name w:val="WWNum55"/>
    <w:basedOn w:val="a2"/>
    <w:rsid w:val="00762090"/>
    <w:pPr>
      <w:numPr>
        <w:numId w:val="36"/>
      </w:numPr>
    </w:pPr>
  </w:style>
  <w:style w:type="numbering" w:customStyle="1" w:styleId="WWNum56">
    <w:name w:val="WWNum56"/>
    <w:basedOn w:val="a2"/>
    <w:rsid w:val="00762090"/>
    <w:pPr>
      <w:numPr>
        <w:numId w:val="37"/>
      </w:numPr>
    </w:pPr>
  </w:style>
  <w:style w:type="numbering" w:customStyle="1" w:styleId="WWNum41">
    <w:name w:val="WWNum41"/>
    <w:basedOn w:val="a2"/>
    <w:rsid w:val="00A5598E"/>
    <w:pPr>
      <w:numPr>
        <w:numId w:val="42"/>
      </w:numPr>
    </w:pPr>
  </w:style>
  <w:style w:type="numbering" w:customStyle="1" w:styleId="WWNum42">
    <w:name w:val="WWNum42"/>
    <w:basedOn w:val="a2"/>
    <w:rsid w:val="00A5598E"/>
    <w:pPr>
      <w:numPr>
        <w:numId w:val="43"/>
      </w:numPr>
    </w:pPr>
  </w:style>
  <w:style w:type="numbering" w:customStyle="1" w:styleId="WWNum43">
    <w:name w:val="WWNum43"/>
    <w:basedOn w:val="a2"/>
    <w:rsid w:val="00A5598E"/>
    <w:pPr>
      <w:numPr>
        <w:numId w:val="44"/>
      </w:numPr>
    </w:pPr>
  </w:style>
  <w:style w:type="numbering" w:customStyle="1" w:styleId="WWNum44">
    <w:name w:val="WWNum44"/>
    <w:basedOn w:val="a2"/>
    <w:rsid w:val="00A5598E"/>
    <w:pPr>
      <w:numPr>
        <w:numId w:val="45"/>
      </w:numPr>
    </w:pPr>
  </w:style>
  <w:style w:type="numbering" w:customStyle="1" w:styleId="WWNum65">
    <w:name w:val="WWNum65"/>
    <w:basedOn w:val="a2"/>
    <w:rsid w:val="00D30D8C"/>
    <w:pPr>
      <w:numPr>
        <w:numId w:val="46"/>
      </w:numPr>
    </w:pPr>
  </w:style>
  <w:style w:type="numbering" w:customStyle="1" w:styleId="WWNum66">
    <w:name w:val="WWNum66"/>
    <w:basedOn w:val="a2"/>
    <w:rsid w:val="00D30D8C"/>
    <w:pPr>
      <w:numPr>
        <w:numId w:val="47"/>
      </w:numPr>
    </w:pPr>
  </w:style>
  <w:style w:type="numbering" w:customStyle="1" w:styleId="WWNum67">
    <w:name w:val="WWNum67"/>
    <w:basedOn w:val="a2"/>
    <w:rsid w:val="00D30D8C"/>
    <w:pPr>
      <w:numPr>
        <w:numId w:val="48"/>
      </w:numPr>
    </w:pPr>
  </w:style>
  <w:style w:type="numbering" w:customStyle="1" w:styleId="WWNum68">
    <w:name w:val="WWNum68"/>
    <w:basedOn w:val="a2"/>
    <w:rsid w:val="00D30D8C"/>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2021-07-21T12:18:00Z</dcterms:created>
  <dcterms:modified xsi:type="dcterms:W3CDTF">2021-07-21T12:18:00Z</dcterms:modified>
</cp:coreProperties>
</file>